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C0" w:rsidRDefault="00D014C0" w:rsidP="00AD6744">
      <w:pPr>
        <w:rPr>
          <w:sz w:val="32"/>
          <w:szCs w:val="32"/>
        </w:rPr>
      </w:pPr>
      <w:r w:rsidRPr="00D014C0">
        <w:rPr>
          <w:rFonts w:hint="eastAsia"/>
          <w:sz w:val="32"/>
          <w:szCs w:val="32"/>
        </w:rPr>
        <w:t>国際塩基配列データベースと</w:t>
      </w:r>
      <w:r w:rsidR="00857B69">
        <w:rPr>
          <w:rFonts w:hint="eastAsia"/>
          <w:sz w:val="32"/>
          <w:szCs w:val="32"/>
        </w:rPr>
        <w:t>遺伝学的検査における</w:t>
      </w:r>
      <w:r w:rsidRPr="00D014C0">
        <w:rPr>
          <w:rFonts w:hint="eastAsia"/>
          <w:sz w:val="32"/>
          <w:szCs w:val="32"/>
        </w:rPr>
        <w:t>バリアントの</w:t>
      </w:r>
      <w:r w:rsidR="00E35C21">
        <w:rPr>
          <w:rFonts w:hint="eastAsia"/>
          <w:sz w:val="32"/>
          <w:szCs w:val="32"/>
        </w:rPr>
        <w:t>標準的な</w:t>
      </w:r>
      <w:r w:rsidRPr="00D014C0">
        <w:rPr>
          <w:rFonts w:hint="eastAsia"/>
          <w:sz w:val="32"/>
          <w:szCs w:val="32"/>
        </w:rPr>
        <w:t>表記法</w:t>
      </w:r>
      <w:r w:rsidR="00D27112">
        <w:rPr>
          <w:rFonts w:hint="eastAsia"/>
          <w:sz w:val="32"/>
          <w:szCs w:val="32"/>
        </w:rPr>
        <w:t>について</w:t>
      </w:r>
    </w:p>
    <w:p w:rsidR="003E6CBD" w:rsidRPr="003E6CBD" w:rsidRDefault="009C5128" w:rsidP="003E6CBD">
      <w:pPr>
        <w:jc w:val="right"/>
        <w:rPr>
          <w:rFonts w:hint="eastAsia"/>
          <w:sz w:val="24"/>
          <w:szCs w:val="24"/>
        </w:rPr>
      </w:pPr>
      <w:r>
        <w:rPr>
          <w:rFonts w:hint="eastAsia"/>
          <w:sz w:val="24"/>
          <w:szCs w:val="24"/>
        </w:rPr>
        <w:t>2015</w:t>
      </w:r>
      <w:r>
        <w:rPr>
          <w:rFonts w:hint="eastAsia"/>
          <w:sz w:val="24"/>
          <w:szCs w:val="24"/>
        </w:rPr>
        <w:t>年</w:t>
      </w:r>
      <w:r>
        <w:rPr>
          <w:rFonts w:hint="eastAsia"/>
          <w:sz w:val="24"/>
          <w:szCs w:val="24"/>
        </w:rPr>
        <w:t>7</w:t>
      </w:r>
      <w:r>
        <w:rPr>
          <w:rFonts w:hint="eastAsia"/>
          <w:sz w:val="24"/>
          <w:szCs w:val="24"/>
        </w:rPr>
        <w:t>月</w:t>
      </w:r>
      <w:r w:rsidR="00D81E55">
        <w:rPr>
          <w:sz w:val="24"/>
          <w:szCs w:val="24"/>
        </w:rPr>
        <w:t>8</w:t>
      </w:r>
      <w:r>
        <w:rPr>
          <w:rFonts w:hint="eastAsia"/>
          <w:sz w:val="24"/>
          <w:szCs w:val="24"/>
        </w:rPr>
        <w:t xml:space="preserve">日発行　</w:t>
      </w:r>
      <w:r w:rsidR="003E6CBD" w:rsidRPr="003E6CBD">
        <w:rPr>
          <w:rFonts w:hint="eastAsia"/>
          <w:sz w:val="24"/>
          <w:szCs w:val="24"/>
        </w:rPr>
        <w:t>文責　中山智祥</w:t>
      </w:r>
    </w:p>
    <w:p w:rsidR="00D014C0" w:rsidRDefault="00D014C0" w:rsidP="00AD6744"/>
    <w:p w:rsidR="00AD6744" w:rsidRDefault="00AD6744" w:rsidP="00AD6744">
      <w:pPr>
        <w:pStyle w:val="a4"/>
        <w:numPr>
          <w:ilvl w:val="0"/>
          <w:numId w:val="1"/>
        </w:numPr>
        <w:ind w:leftChars="0"/>
      </w:pPr>
      <w:r>
        <w:rPr>
          <w:rFonts w:hint="eastAsia"/>
        </w:rPr>
        <w:t>国際塩基配列データベースについて</w:t>
      </w:r>
    </w:p>
    <w:p w:rsidR="00AD6744" w:rsidRDefault="00AD6744" w:rsidP="00AD6744">
      <w:pPr>
        <w:pStyle w:val="a4"/>
        <w:ind w:leftChars="0" w:left="360" w:firstLineChars="100" w:firstLine="210"/>
      </w:pPr>
      <w:r>
        <w:rPr>
          <w:rFonts w:hint="eastAsia"/>
        </w:rPr>
        <w:t>塩基配列データベースは、国際塩基配列データベース協力体制（</w:t>
      </w:r>
      <w:r w:rsidRPr="00873115">
        <w:rPr>
          <w:rFonts w:hint="eastAsia"/>
        </w:rPr>
        <w:t>International Nucleotide Sequence Database Collaboration</w:t>
      </w:r>
      <w:r>
        <w:rPr>
          <w:rFonts w:hint="eastAsia"/>
        </w:rPr>
        <w:t>: INSDC</w:t>
      </w:r>
      <w:r>
        <w:rPr>
          <w:rFonts w:hint="eastAsia"/>
        </w:rPr>
        <w:t>）によって収集、アーカイブされている。</w:t>
      </w:r>
      <w:r>
        <w:rPr>
          <w:rFonts w:hint="eastAsia"/>
        </w:rPr>
        <w:t>INSDC</w:t>
      </w:r>
      <w:r>
        <w:rPr>
          <w:rFonts w:hint="eastAsia"/>
        </w:rPr>
        <w:t>は日本</w:t>
      </w:r>
      <w:r>
        <w:rPr>
          <w:rFonts w:hint="eastAsia"/>
        </w:rPr>
        <w:t>DNA</w:t>
      </w:r>
      <w:r>
        <w:rPr>
          <w:rFonts w:hint="eastAsia"/>
        </w:rPr>
        <w:t>データバンク（</w:t>
      </w:r>
      <w:r w:rsidRPr="00BA44BE">
        <w:t>DNA Data Bank of Japan</w:t>
      </w:r>
      <w:r>
        <w:rPr>
          <w:rFonts w:hint="eastAsia"/>
        </w:rPr>
        <w:t>: DDBJ</w:t>
      </w:r>
      <w:r>
        <w:rPr>
          <w:rFonts w:hint="eastAsia"/>
        </w:rPr>
        <w:t>）、米国</w:t>
      </w:r>
      <w:r w:rsidRPr="00F60B62">
        <w:t>National Center for Biotechnology Information</w:t>
      </w:r>
      <w:r>
        <w:rPr>
          <w:rFonts w:hint="eastAsia"/>
        </w:rPr>
        <w:t>（</w:t>
      </w:r>
      <w:r>
        <w:t>NCBI</w:t>
      </w:r>
      <w:r>
        <w:rPr>
          <w:rFonts w:hint="eastAsia"/>
        </w:rPr>
        <w:t>）、</w:t>
      </w:r>
      <w:r w:rsidRPr="00F60B62">
        <w:rPr>
          <w:rFonts w:hint="eastAsia"/>
        </w:rPr>
        <w:t>欧州の</w:t>
      </w:r>
      <w:r w:rsidRPr="00F60B62">
        <w:rPr>
          <w:rFonts w:hint="eastAsia"/>
        </w:rPr>
        <w:t xml:space="preserve"> European Bioinformatics Institute</w:t>
      </w:r>
      <w:r>
        <w:rPr>
          <w:rFonts w:hint="eastAsia"/>
        </w:rPr>
        <w:t>（</w:t>
      </w:r>
      <w:r w:rsidRPr="00F60B62">
        <w:t>E</w:t>
      </w:r>
      <w:r>
        <w:t>BI</w:t>
      </w:r>
      <w:r>
        <w:rPr>
          <w:rFonts w:hint="eastAsia"/>
        </w:rPr>
        <w:t>）</w:t>
      </w:r>
      <w:r w:rsidRPr="00F60B62">
        <w:rPr>
          <w:rFonts w:hint="eastAsia"/>
        </w:rPr>
        <w:t xml:space="preserve"> </w:t>
      </w:r>
      <w:r w:rsidRPr="00F60B62">
        <w:rPr>
          <w:rFonts w:hint="eastAsia"/>
        </w:rPr>
        <w:t>で運営されている</w:t>
      </w:r>
      <w:r w:rsidRPr="00F60B62">
        <w:rPr>
          <w:rFonts w:hint="eastAsia"/>
        </w:rPr>
        <w:t xml:space="preserve"> European Nucleotide Archive</w:t>
      </w:r>
      <w:r>
        <w:rPr>
          <w:rFonts w:hint="eastAsia"/>
        </w:rPr>
        <w:t>（</w:t>
      </w:r>
      <w:r>
        <w:rPr>
          <w:rFonts w:hint="eastAsia"/>
        </w:rPr>
        <w:t>ENA</w:t>
      </w:r>
      <w:r>
        <w:rPr>
          <w:rFonts w:hint="eastAsia"/>
        </w:rPr>
        <w:t>）の</w:t>
      </w:r>
      <w:r>
        <w:rPr>
          <w:rFonts w:hint="eastAsia"/>
        </w:rPr>
        <w:t>3</w:t>
      </w:r>
      <w:r>
        <w:rPr>
          <w:rFonts w:hint="eastAsia"/>
        </w:rPr>
        <w:t>つの拠点で構成・連携され、</w:t>
      </w:r>
      <w:r w:rsidRPr="00F60B62">
        <w:rPr>
          <w:rFonts w:hint="eastAsia"/>
        </w:rPr>
        <w:t>インターネットを経由したデータと情報の相互交換</w:t>
      </w:r>
      <w:r>
        <w:rPr>
          <w:rFonts w:hint="eastAsia"/>
        </w:rPr>
        <w:t>がなされている。</w:t>
      </w:r>
      <w:r w:rsidRPr="00F60B62">
        <w:rPr>
          <w:rFonts w:hint="eastAsia"/>
        </w:rPr>
        <w:t>国際諮問委員会</w:t>
      </w:r>
      <w:r>
        <w:rPr>
          <w:rFonts w:hint="eastAsia"/>
        </w:rPr>
        <w:t>（</w:t>
      </w:r>
      <w:r w:rsidRPr="00F60B62">
        <w:rPr>
          <w:rFonts w:hint="eastAsia"/>
        </w:rPr>
        <w:t>International Advisory Committee</w:t>
      </w:r>
      <w:r>
        <w:rPr>
          <w:rFonts w:hint="eastAsia"/>
        </w:rPr>
        <w:t>:</w:t>
      </w:r>
      <w:r>
        <w:t xml:space="preserve"> IAC</w:t>
      </w:r>
      <w:r>
        <w:rPr>
          <w:rFonts w:hint="eastAsia"/>
        </w:rPr>
        <w:t>）と</w:t>
      </w:r>
      <w:r w:rsidRPr="00F60B62">
        <w:rPr>
          <w:rFonts w:hint="eastAsia"/>
        </w:rPr>
        <w:t>国際実務者会議</w:t>
      </w:r>
      <w:r>
        <w:rPr>
          <w:rFonts w:hint="eastAsia"/>
        </w:rPr>
        <w:t>（</w:t>
      </w:r>
      <w:r w:rsidRPr="00F60B62">
        <w:rPr>
          <w:rFonts w:hint="eastAsia"/>
        </w:rPr>
        <w:t>International Collaborative Meeting</w:t>
      </w:r>
      <w:r>
        <w:t xml:space="preserve">: </w:t>
      </w:r>
      <w:r>
        <w:rPr>
          <w:rFonts w:hint="eastAsia"/>
        </w:rPr>
        <w:t>ICM</w:t>
      </w:r>
      <w:r>
        <w:rPr>
          <w:rFonts w:hint="eastAsia"/>
        </w:rPr>
        <w:t>）の２つの会議が</w:t>
      </w:r>
      <w:r w:rsidRPr="00F60B62">
        <w:rPr>
          <w:rFonts w:hint="eastAsia"/>
        </w:rPr>
        <w:t>定期的</w:t>
      </w:r>
      <w:r>
        <w:rPr>
          <w:rFonts w:hint="eastAsia"/>
        </w:rPr>
        <w:t>に開催されている（</w:t>
      </w:r>
      <w:hyperlink r:id="rId7" w:anchor="insd" w:history="1">
        <w:r w:rsidRPr="00641C26">
          <w:rPr>
            <w:rStyle w:val="a3"/>
          </w:rPr>
          <w:t>http://www.ddbj.nig.ac.jp/insdc/insdc-j.html#insd</w:t>
        </w:r>
      </w:hyperlink>
      <w:r>
        <w:rPr>
          <w:rFonts w:hint="eastAsia"/>
        </w:rPr>
        <w:t>）。研究者は決定した塩基配列データを上記</w:t>
      </w:r>
      <w:r>
        <w:rPr>
          <w:rFonts w:hint="eastAsia"/>
        </w:rPr>
        <w:t>3</w:t>
      </w:r>
      <w:r>
        <w:rPr>
          <w:rFonts w:hint="eastAsia"/>
        </w:rPr>
        <w:t>つの機関のいずれかに</w:t>
      </w:r>
      <w:r>
        <w:rPr>
          <w:rFonts w:hint="eastAsia"/>
        </w:rPr>
        <w:t>submit</w:t>
      </w:r>
      <w:r>
        <w:rPr>
          <w:rFonts w:hint="eastAsia"/>
        </w:rPr>
        <w:t>すれば、そのデータは</w:t>
      </w:r>
      <w:r>
        <w:rPr>
          <w:rFonts w:hint="eastAsia"/>
        </w:rPr>
        <w:t>3</w:t>
      </w:r>
      <w:r>
        <w:rPr>
          <w:rFonts w:hint="eastAsia"/>
        </w:rPr>
        <w:t>つの機関が維持するデータベースである</w:t>
      </w:r>
      <w:r>
        <w:rPr>
          <w:rFonts w:hint="eastAsia"/>
        </w:rPr>
        <w:t>DDBJ</w:t>
      </w:r>
      <w:r>
        <w:rPr>
          <w:rFonts w:hint="eastAsia"/>
        </w:rPr>
        <w:t>、</w:t>
      </w:r>
      <w:r>
        <w:rPr>
          <w:rFonts w:hint="eastAsia"/>
        </w:rPr>
        <w:t>GenBank</w:t>
      </w:r>
      <w:r>
        <w:rPr>
          <w:rFonts w:hint="eastAsia"/>
        </w:rPr>
        <w:t>、</w:t>
      </w:r>
      <w:r>
        <w:t>EMBL-Bank</w:t>
      </w:r>
      <w:r>
        <w:rPr>
          <w:rFonts w:hint="eastAsia"/>
        </w:rPr>
        <w:t>のすべてに登録・公開される。</w:t>
      </w:r>
    </w:p>
    <w:p w:rsidR="00AD6744" w:rsidRPr="00AD6744" w:rsidRDefault="00AD6744" w:rsidP="00AD6744">
      <w:pPr>
        <w:pStyle w:val="a4"/>
        <w:ind w:leftChars="0" w:left="360"/>
      </w:pPr>
    </w:p>
    <w:p w:rsidR="00AD6744" w:rsidRDefault="00AD6744" w:rsidP="00AD6744">
      <w:pPr>
        <w:pStyle w:val="a4"/>
        <w:numPr>
          <w:ilvl w:val="0"/>
          <w:numId w:val="1"/>
        </w:numPr>
        <w:ind w:leftChars="0"/>
      </w:pPr>
      <w:r>
        <w:rPr>
          <w:rFonts w:hint="eastAsia"/>
        </w:rPr>
        <w:t>参照配列について</w:t>
      </w:r>
    </w:p>
    <w:p w:rsidR="00AD6744" w:rsidRDefault="00AD6744" w:rsidP="00AD6744">
      <w:pPr>
        <w:pStyle w:val="a4"/>
        <w:ind w:leftChars="0" w:left="360" w:firstLineChars="100" w:firstLine="210"/>
      </w:pPr>
      <w:r>
        <w:rPr>
          <w:rFonts w:hint="eastAsia"/>
        </w:rPr>
        <w:t>世界中の様々な研究者の努力によって</w:t>
      </w:r>
      <w:r w:rsidRPr="002A4D7C">
        <w:rPr>
          <w:rFonts w:hint="eastAsia"/>
        </w:rPr>
        <w:t>ヒトゲノムプロジェクトが</w:t>
      </w:r>
      <w:r>
        <w:rPr>
          <w:rFonts w:hint="eastAsia"/>
        </w:rPr>
        <w:t>2003</w:t>
      </w:r>
      <w:r>
        <w:rPr>
          <w:rFonts w:hint="eastAsia"/>
        </w:rPr>
        <w:t>年に</w:t>
      </w:r>
      <w:r w:rsidRPr="002A4D7C">
        <w:rPr>
          <w:rFonts w:hint="eastAsia"/>
        </w:rPr>
        <w:t>完了し</w:t>
      </w:r>
      <w:r>
        <w:rPr>
          <w:rFonts w:hint="eastAsia"/>
        </w:rPr>
        <w:t>、国際塩基配列データベースを通じてその配列を基本情報（参照配列）として利用できるようになっている</w:t>
      </w:r>
      <w:r w:rsidRPr="002A4D7C">
        <w:rPr>
          <w:rFonts w:hint="eastAsia"/>
        </w:rPr>
        <w:t>。</w:t>
      </w:r>
      <w:r>
        <w:rPr>
          <w:rFonts w:hint="eastAsia"/>
        </w:rPr>
        <w:t>ヒトでは</w:t>
      </w:r>
      <w:r w:rsidRPr="004043DC">
        <w:t>Genome Reference Consortium</w:t>
      </w:r>
      <w:r>
        <w:rPr>
          <w:rFonts w:hint="eastAsia"/>
        </w:rPr>
        <w:t>が</w:t>
      </w:r>
      <w:r>
        <w:rPr>
          <w:rFonts w:hint="eastAsia"/>
        </w:rPr>
        <w:t>submit</w:t>
      </w:r>
      <w:r>
        <w:rPr>
          <w:rFonts w:hint="eastAsia"/>
        </w:rPr>
        <w:t>している参照配列があり、</w:t>
      </w:r>
      <w:r>
        <w:rPr>
          <w:rFonts w:hint="eastAsia"/>
        </w:rPr>
        <w:t>2015</w:t>
      </w:r>
      <w:r>
        <w:rPr>
          <w:rFonts w:hint="eastAsia"/>
        </w:rPr>
        <w:t>年春現在</w:t>
      </w:r>
      <w:r>
        <w:rPr>
          <w:rFonts w:hint="eastAsia"/>
        </w:rPr>
        <w:t>Build38</w:t>
      </w:r>
      <w:r>
        <w:rPr>
          <w:rFonts w:hint="eastAsia"/>
        </w:rPr>
        <w:t>版になっている。細かい修正が加えられると、</w:t>
      </w:r>
      <w:r>
        <w:t>patch release</w:t>
      </w:r>
      <w:r>
        <w:rPr>
          <w:rFonts w:hint="eastAsia"/>
        </w:rPr>
        <w:t>として</w:t>
      </w:r>
      <w:r>
        <w:rPr>
          <w:rFonts w:hint="eastAsia"/>
        </w:rPr>
        <w:t>p</w:t>
      </w:r>
      <w:r>
        <w:rPr>
          <w:rFonts w:hint="eastAsia"/>
        </w:rPr>
        <w:t>ナンバーが加えられていく。</w:t>
      </w:r>
      <w:r>
        <w:rPr>
          <w:rFonts w:hint="eastAsia"/>
        </w:rPr>
        <w:t>2015</w:t>
      </w:r>
      <w:r>
        <w:rPr>
          <w:rFonts w:hint="eastAsia"/>
        </w:rPr>
        <w:t>年</w:t>
      </w:r>
      <w:r>
        <w:rPr>
          <w:rFonts w:hint="eastAsia"/>
        </w:rPr>
        <w:t>4</w:t>
      </w:r>
      <w:r>
        <w:rPr>
          <w:rFonts w:hint="eastAsia"/>
        </w:rPr>
        <w:t>月</w:t>
      </w:r>
      <w:r>
        <w:rPr>
          <w:rFonts w:hint="eastAsia"/>
        </w:rPr>
        <w:t>3</w:t>
      </w:r>
      <w:r>
        <w:rPr>
          <w:rFonts w:hint="eastAsia"/>
        </w:rPr>
        <w:t>日の最新版は</w:t>
      </w:r>
      <w:r w:rsidRPr="00780BE5">
        <w:t xml:space="preserve">Genome Reference Consortium Human Build 38 patch release </w:t>
      </w:r>
      <w:r>
        <w:t>3</w:t>
      </w:r>
      <w:r w:rsidRPr="00780BE5">
        <w:t xml:space="preserve"> (GRCh38.p</w:t>
      </w:r>
      <w:r>
        <w:t>3</w:t>
      </w:r>
      <w:r w:rsidRPr="00780BE5">
        <w:t>)</w:t>
      </w:r>
      <w:r>
        <w:rPr>
          <w:rFonts w:hint="eastAsia"/>
        </w:rPr>
        <w:t>である。参照配列の表記法は、モデル参照配列は</w:t>
      </w:r>
      <w:r>
        <w:t>X</w:t>
      </w:r>
      <w:r>
        <w:rPr>
          <w:rFonts w:hint="eastAsia"/>
        </w:rPr>
        <w:t>で始め、既知（</w:t>
      </w:r>
      <w:r>
        <w:rPr>
          <w:rFonts w:hint="eastAsia"/>
        </w:rPr>
        <w:t>k</w:t>
      </w:r>
      <w:r>
        <w:t>n</w:t>
      </w:r>
      <w:r>
        <w:rPr>
          <w:rFonts w:hint="eastAsia"/>
        </w:rPr>
        <w:t>own</w:t>
      </w:r>
      <w:r>
        <w:rPr>
          <w:rFonts w:hint="eastAsia"/>
        </w:rPr>
        <w:t>）の参照配列は</w:t>
      </w:r>
      <w:r>
        <w:t>N</w:t>
      </w:r>
      <w:r>
        <w:rPr>
          <w:rFonts w:hint="eastAsia"/>
        </w:rPr>
        <w:t>で始める。そこで接頭辞として</w:t>
      </w:r>
      <w:r>
        <w:t>NC_ (</w:t>
      </w:r>
      <w:r>
        <w:rPr>
          <w:rFonts w:hint="eastAsia"/>
        </w:rPr>
        <w:t>染色体</w:t>
      </w:r>
      <w:r>
        <w:t>chromosomes)</w:t>
      </w:r>
      <w:r>
        <w:rPr>
          <w:rFonts w:hint="eastAsia"/>
        </w:rPr>
        <w:t>、</w:t>
      </w:r>
      <w:r>
        <w:t>NM_ (mRNAs)</w:t>
      </w:r>
      <w:r>
        <w:rPr>
          <w:rFonts w:hint="eastAsia"/>
        </w:rPr>
        <w:t>、</w:t>
      </w:r>
      <w:r>
        <w:t>NP_ (proteins)</w:t>
      </w:r>
      <w:r>
        <w:rPr>
          <w:rFonts w:hint="eastAsia"/>
        </w:rPr>
        <w:t>、</w:t>
      </w:r>
      <w:r>
        <w:t>NT_ (constructed</w:t>
      </w:r>
      <w:r>
        <w:rPr>
          <w:rFonts w:hint="eastAsia"/>
        </w:rPr>
        <w:t xml:space="preserve"> </w:t>
      </w:r>
      <w:r>
        <w:t>genomic contigs)</w:t>
      </w:r>
      <w:r w:rsidR="00A778C1">
        <w:rPr>
          <w:rFonts w:hint="eastAsia"/>
        </w:rPr>
        <w:t>を用いる</w:t>
      </w:r>
      <w:r>
        <w:rPr>
          <w:rFonts w:hint="eastAsia"/>
        </w:rPr>
        <w:t>。</w:t>
      </w:r>
      <w:r>
        <w:t>NG</w:t>
      </w:r>
      <w:r>
        <w:rPr>
          <w:rFonts w:hint="eastAsia"/>
        </w:rPr>
        <w:t>_</w:t>
      </w:r>
      <w:r>
        <w:rPr>
          <w:rFonts w:hint="eastAsia"/>
        </w:rPr>
        <w:t>は</w:t>
      </w:r>
      <w:r w:rsidR="00A778C1">
        <w:t xml:space="preserve"> genomic regions</w:t>
      </w:r>
      <w:r w:rsidR="00A778C1">
        <w:rPr>
          <w:rFonts w:hint="eastAsia"/>
        </w:rPr>
        <w:t>あるいは</w:t>
      </w:r>
      <w:r>
        <w:t>gene</w:t>
      </w:r>
      <w:r>
        <w:rPr>
          <w:rFonts w:hint="eastAsia"/>
        </w:rPr>
        <w:t xml:space="preserve"> </w:t>
      </w:r>
      <w:r>
        <w:t>clusters (</w:t>
      </w:r>
      <w:r>
        <w:rPr>
          <w:rFonts w:hint="eastAsia"/>
        </w:rPr>
        <w:t>例</w:t>
      </w:r>
      <w:r>
        <w:t xml:space="preserve">immunoglobulin region) </w:t>
      </w:r>
      <w:r>
        <w:rPr>
          <w:rFonts w:hint="eastAsia"/>
        </w:rPr>
        <w:t>を表す。</w:t>
      </w:r>
    </w:p>
    <w:p w:rsidR="00AD6744" w:rsidRDefault="00AD6744" w:rsidP="00AD6744">
      <w:pPr>
        <w:pStyle w:val="a4"/>
        <w:ind w:leftChars="0" w:left="360"/>
      </w:pPr>
    </w:p>
    <w:p w:rsidR="00AD6744" w:rsidRDefault="00AD6744" w:rsidP="00AD6744">
      <w:pPr>
        <w:pStyle w:val="a4"/>
        <w:numPr>
          <w:ilvl w:val="0"/>
          <w:numId w:val="1"/>
        </w:numPr>
        <w:ind w:leftChars="0"/>
      </w:pPr>
      <w:r>
        <w:t>HGVS</w:t>
      </w:r>
      <w:r>
        <w:rPr>
          <w:rFonts w:hint="eastAsia"/>
        </w:rPr>
        <w:t>表記法</w:t>
      </w:r>
      <w:r w:rsidR="00E620AF">
        <w:rPr>
          <w:rFonts w:hint="eastAsia"/>
        </w:rPr>
        <w:t>についての</w:t>
      </w:r>
      <w:r w:rsidR="00D90738">
        <w:rPr>
          <w:rFonts w:hint="eastAsia"/>
        </w:rPr>
        <w:t>変遷</w:t>
      </w:r>
    </w:p>
    <w:p w:rsidR="00D014C0" w:rsidRDefault="009C765F" w:rsidP="009C765F">
      <w:pPr>
        <w:pStyle w:val="a4"/>
        <w:ind w:leftChars="0" w:left="360"/>
      </w:pPr>
      <w:r>
        <w:rPr>
          <w:rFonts w:hint="eastAsia"/>
        </w:rPr>
        <w:t>（</w:t>
      </w:r>
      <w:hyperlink r:id="rId8" w:history="1">
        <w:r w:rsidRPr="00D50858">
          <w:rPr>
            <w:rStyle w:val="a3"/>
          </w:rPr>
          <w:t>http://www.hgvs.org/</w:t>
        </w:r>
      </w:hyperlink>
      <w:r>
        <w:rPr>
          <w:rFonts w:hint="eastAsia"/>
        </w:rPr>
        <w:t>）</w:t>
      </w:r>
    </w:p>
    <w:p w:rsidR="009C765F" w:rsidRDefault="00D014C0" w:rsidP="00D014C0">
      <w:pPr>
        <w:pStyle w:val="a4"/>
        <w:ind w:leftChars="0" w:left="360" w:firstLineChars="100" w:firstLine="210"/>
      </w:pPr>
      <w:r>
        <w:rPr>
          <w:rFonts w:hint="eastAsia"/>
        </w:rPr>
        <w:t>さて、ヒトゲノム、</w:t>
      </w:r>
      <w:r>
        <w:rPr>
          <w:rFonts w:hint="eastAsia"/>
        </w:rPr>
        <w:t>RNA</w:t>
      </w:r>
      <w:r>
        <w:rPr>
          <w:rFonts w:hint="eastAsia"/>
        </w:rPr>
        <w:t>、コード領域の</w:t>
      </w:r>
      <w:r>
        <w:rPr>
          <w:rFonts w:hint="eastAsia"/>
        </w:rPr>
        <w:t>DNA</w:t>
      </w:r>
      <w:r>
        <w:rPr>
          <w:rFonts w:hint="eastAsia"/>
        </w:rPr>
        <w:t>、タンパク質配位におけるバリエーションの表記法については</w:t>
      </w:r>
      <w:r w:rsidRPr="00E8393F">
        <w:t>Human Genome Variation Society (HGVS)</w:t>
      </w:r>
      <w:r>
        <w:rPr>
          <w:rFonts w:hint="eastAsia"/>
        </w:rPr>
        <w:t>によって確立され</w:t>
      </w:r>
      <w:r>
        <w:rPr>
          <w:rFonts w:hint="eastAsia"/>
        </w:rPr>
        <w:lastRenderedPageBreak/>
        <w:t>たものを標準として</w:t>
      </w:r>
      <w:r w:rsidR="00D90738">
        <w:rPr>
          <w:rFonts w:hint="eastAsia"/>
        </w:rPr>
        <w:t>現在</w:t>
      </w:r>
      <w:r>
        <w:rPr>
          <w:rFonts w:hint="eastAsia"/>
        </w:rPr>
        <w:t>NCBI</w:t>
      </w:r>
      <w:r>
        <w:rPr>
          <w:rFonts w:hint="eastAsia"/>
        </w:rPr>
        <w:t>が承認している。</w:t>
      </w:r>
    </w:p>
    <w:p w:rsidR="00DE43BD" w:rsidRDefault="00DE43BD" w:rsidP="00DE43BD">
      <w:pPr>
        <w:pStyle w:val="a4"/>
        <w:ind w:leftChars="0" w:left="360" w:firstLineChars="100" w:firstLine="210"/>
      </w:pPr>
      <w:r>
        <w:rPr>
          <w:rFonts w:hint="eastAsia"/>
        </w:rPr>
        <w:t>表記法</w:t>
      </w:r>
      <w:r w:rsidR="00D90738">
        <w:rPr>
          <w:rFonts w:hint="eastAsia"/>
        </w:rPr>
        <w:t>の標準化</w:t>
      </w:r>
      <w:r>
        <w:rPr>
          <w:rFonts w:hint="eastAsia"/>
        </w:rPr>
        <w:t>に関する議論は</w:t>
      </w:r>
      <w:r w:rsidR="00C31276">
        <w:rPr>
          <w:rFonts w:hint="eastAsia"/>
        </w:rPr>
        <w:t>1993</w:t>
      </w:r>
      <w:r w:rsidR="00C31276">
        <w:rPr>
          <w:rFonts w:hint="eastAsia"/>
        </w:rPr>
        <w:t>年に発表された</w:t>
      </w:r>
      <w:r>
        <w:rPr>
          <w:rFonts w:hint="eastAsia"/>
        </w:rPr>
        <w:t>以下の</w:t>
      </w:r>
      <w:r>
        <w:rPr>
          <w:rFonts w:hint="eastAsia"/>
        </w:rPr>
        <w:t>2</w:t>
      </w:r>
      <w:r>
        <w:rPr>
          <w:rFonts w:hint="eastAsia"/>
        </w:rPr>
        <w:t>つの論文によって始ま</w:t>
      </w:r>
      <w:r w:rsidR="00C31276">
        <w:rPr>
          <w:rFonts w:hint="eastAsia"/>
        </w:rPr>
        <w:t>った。</w:t>
      </w:r>
    </w:p>
    <w:p w:rsidR="00DE43BD" w:rsidRDefault="00E620AF" w:rsidP="00DE43BD">
      <w:pPr>
        <w:pStyle w:val="a4"/>
        <w:numPr>
          <w:ilvl w:val="0"/>
          <w:numId w:val="2"/>
        </w:numPr>
        <w:ind w:leftChars="0"/>
      </w:pPr>
      <w:r>
        <w:t>Beaudet AL, Tsui LC</w:t>
      </w:r>
      <w:r>
        <w:rPr>
          <w:rFonts w:hint="eastAsia"/>
        </w:rPr>
        <w:t xml:space="preserve">: </w:t>
      </w:r>
      <w:r>
        <w:t>A suggested nomenclature for designating mutations. Hum Mutat. 1993;2(4):245-8.</w:t>
      </w:r>
    </w:p>
    <w:p w:rsidR="00E620AF" w:rsidRDefault="00E620AF" w:rsidP="00DE43BD">
      <w:pPr>
        <w:pStyle w:val="a4"/>
        <w:numPr>
          <w:ilvl w:val="0"/>
          <w:numId w:val="2"/>
        </w:numPr>
        <w:ind w:leftChars="0"/>
      </w:pPr>
      <w:r>
        <w:t xml:space="preserve">Beutler E: </w:t>
      </w:r>
      <w:r w:rsidRPr="00E620AF">
        <w:t>The designation of mutations.</w:t>
      </w:r>
      <w:r>
        <w:t xml:space="preserve"> Am J Hum Genet. 1993 Sep;53(3):783-5.</w:t>
      </w:r>
    </w:p>
    <w:p w:rsidR="00DE43BD" w:rsidRDefault="00C31276" w:rsidP="00C31276">
      <w:pPr>
        <w:ind w:left="360" w:firstLineChars="100" w:firstLine="210"/>
      </w:pPr>
      <w:r>
        <w:rPr>
          <w:rFonts w:hint="eastAsia"/>
        </w:rPr>
        <w:t>その後、議論され、</w:t>
      </w:r>
      <w:r w:rsidRPr="00C31276">
        <w:rPr>
          <w:rFonts w:hint="eastAsia"/>
        </w:rPr>
        <w:t>変更</w:t>
      </w:r>
      <w:r>
        <w:rPr>
          <w:rFonts w:hint="eastAsia"/>
        </w:rPr>
        <w:t>の上</w:t>
      </w:r>
      <w:r w:rsidR="00D90738">
        <w:rPr>
          <w:rFonts w:hint="eastAsia"/>
        </w:rPr>
        <w:t>、</w:t>
      </w:r>
      <w:r>
        <w:rPr>
          <w:rFonts w:hint="eastAsia"/>
        </w:rPr>
        <w:t>広がり、最終的に</w:t>
      </w:r>
      <w:r w:rsidR="00D90738">
        <w:rPr>
          <w:rFonts w:hint="eastAsia"/>
        </w:rPr>
        <w:t>主に受け入れられた</w:t>
      </w:r>
      <w:r>
        <w:rPr>
          <w:rFonts w:hint="eastAsia"/>
        </w:rPr>
        <w:t>。</w:t>
      </w:r>
      <w:r w:rsidR="00C404F4">
        <w:rPr>
          <w:rFonts w:hint="eastAsia"/>
        </w:rPr>
        <w:t>現在の</w:t>
      </w:r>
      <w:r w:rsidR="00C117D8">
        <w:rPr>
          <w:rFonts w:hint="eastAsia"/>
        </w:rPr>
        <w:t>規定は</w:t>
      </w:r>
      <w:r w:rsidR="00C117D8">
        <w:rPr>
          <w:rFonts w:hint="eastAsia"/>
        </w:rPr>
        <w:t>2000</w:t>
      </w:r>
      <w:r w:rsidR="00C117D8">
        <w:rPr>
          <w:rFonts w:hint="eastAsia"/>
        </w:rPr>
        <w:t>年の以下の論文が基本となっている。</w:t>
      </w:r>
    </w:p>
    <w:p w:rsidR="00C117D8" w:rsidRDefault="00C117D8" w:rsidP="00C117D8">
      <w:pPr>
        <w:pStyle w:val="a4"/>
        <w:numPr>
          <w:ilvl w:val="0"/>
          <w:numId w:val="2"/>
        </w:numPr>
        <w:ind w:leftChars="0"/>
      </w:pPr>
      <w:r>
        <w:t>den Dunnen JT, Antonarakis SE: Mutation Nomenclature Extensions and Suggestions to Describe Complex Mutations: A Discussion. Hum Mutat. 2000; 15: 7-12.</w:t>
      </w:r>
    </w:p>
    <w:p w:rsidR="00C117D8" w:rsidRDefault="00B35010" w:rsidP="00B35010">
      <w:pPr>
        <w:ind w:left="360" w:firstLineChars="100" w:firstLine="210"/>
      </w:pPr>
      <w:r>
        <w:rPr>
          <w:rFonts w:hint="eastAsia"/>
        </w:rPr>
        <w:t>この規定はその後追加・改訂されているが、それでも</w:t>
      </w:r>
      <w:r w:rsidRPr="00B35010">
        <w:rPr>
          <w:rFonts w:hint="eastAsia"/>
        </w:rPr>
        <w:t>カバーされない複雑なケース</w:t>
      </w:r>
      <w:r>
        <w:rPr>
          <w:rFonts w:hint="eastAsia"/>
        </w:rPr>
        <w:t>については彼ら</w:t>
      </w:r>
      <w:r>
        <w:rPr>
          <w:rFonts w:hint="eastAsia"/>
        </w:rPr>
        <w:t>2</w:t>
      </w:r>
      <w:r>
        <w:rPr>
          <w:rFonts w:hint="eastAsia"/>
        </w:rPr>
        <w:t>名</w:t>
      </w:r>
      <w:r w:rsidR="001F4405">
        <w:rPr>
          <w:rFonts w:hint="eastAsia"/>
        </w:rPr>
        <w:t>の以下</w:t>
      </w:r>
      <w:r>
        <w:rPr>
          <w:rFonts w:hint="eastAsia"/>
        </w:rPr>
        <w:t>メール</w:t>
      </w:r>
      <w:r w:rsidR="001F4405">
        <w:rPr>
          <w:rFonts w:hint="eastAsia"/>
        </w:rPr>
        <w:t>アドレス宛にて</w:t>
      </w:r>
      <w:r>
        <w:rPr>
          <w:rFonts w:hint="eastAsia"/>
        </w:rPr>
        <w:t>連絡を取ることを勧めている。</w:t>
      </w:r>
    </w:p>
    <w:p w:rsidR="00D90738" w:rsidRPr="00D90738" w:rsidRDefault="001F4405" w:rsidP="00D90738">
      <w:pPr>
        <w:ind w:leftChars="202" w:left="424"/>
      </w:pPr>
      <w:r>
        <w:t>J.T.den_Dunnen</w:t>
      </w:r>
      <w:r>
        <w:rPr>
          <w:rFonts w:hint="eastAsia"/>
        </w:rPr>
        <w:t>@</w:t>
      </w:r>
      <w:r>
        <w:t>LUMC.nl</w:t>
      </w:r>
    </w:p>
    <w:p w:rsidR="001F4405" w:rsidRDefault="003C18BC" w:rsidP="001F4405">
      <w:pPr>
        <w:ind w:leftChars="202" w:left="424"/>
      </w:pPr>
      <w:hyperlink r:id="rId9" w:history="1">
        <w:r w:rsidR="00D90738" w:rsidRPr="00D50858">
          <w:rPr>
            <w:rStyle w:val="a3"/>
          </w:rPr>
          <w:t>Stylianos.Antonarakis@medecine.unige.ch</w:t>
        </w:r>
      </w:hyperlink>
    </w:p>
    <w:p w:rsidR="00D90738" w:rsidRPr="00C117D8" w:rsidRDefault="00D90738" w:rsidP="001F4405">
      <w:pPr>
        <w:ind w:leftChars="202" w:left="424"/>
      </w:pPr>
    </w:p>
    <w:p w:rsidR="00E620AF" w:rsidRPr="00D90738" w:rsidRDefault="00D90738" w:rsidP="004B4D60">
      <w:pPr>
        <w:pStyle w:val="a4"/>
        <w:numPr>
          <w:ilvl w:val="0"/>
          <w:numId w:val="1"/>
        </w:numPr>
        <w:ind w:leftChars="0"/>
        <w:rPr>
          <w:rFonts w:hint="eastAsia"/>
        </w:rPr>
      </w:pPr>
      <w:r>
        <w:t>HGVS</w:t>
      </w:r>
      <w:r>
        <w:rPr>
          <w:rFonts w:hint="eastAsia"/>
        </w:rPr>
        <w:t>表記法についての見解</w:t>
      </w:r>
    </w:p>
    <w:p w:rsidR="009C765F" w:rsidRDefault="00AC158E" w:rsidP="00AC158E">
      <w:pPr>
        <w:ind w:left="360" w:firstLineChars="100" w:firstLine="210"/>
      </w:pPr>
      <w:r>
        <w:rPr>
          <w:rFonts w:hint="eastAsia"/>
        </w:rPr>
        <w:t>変異（</w:t>
      </w:r>
      <w:r>
        <w:t>mutation</w:t>
      </w:r>
      <w:r>
        <w:rPr>
          <w:rFonts w:hint="eastAsia"/>
        </w:rPr>
        <w:t>）と多型（</w:t>
      </w:r>
      <w:r>
        <w:rPr>
          <w:rFonts w:hint="eastAsia"/>
        </w:rPr>
        <w:t>polymorphism</w:t>
      </w:r>
      <w:r>
        <w:rPr>
          <w:rFonts w:hint="eastAsia"/>
        </w:rPr>
        <w:t>）という単語は使用せず、</w:t>
      </w:r>
      <w:r w:rsidR="009C765F" w:rsidRPr="0026276B">
        <w:rPr>
          <w:b/>
        </w:rPr>
        <w:t>sequence variant</w:t>
      </w:r>
      <w:r w:rsidR="009C765F" w:rsidRPr="0026276B">
        <w:rPr>
          <w:rFonts w:hint="eastAsia"/>
          <w:b/>
        </w:rPr>
        <w:t>、</w:t>
      </w:r>
      <w:r w:rsidR="009C765F" w:rsidRPr="0026276B">
        <w:rPr>
          <w:b/>
        </w:rPr>
        <w:t xml:space="preserve"> alteration</w:t>
      </w:r>
      <w:r w:rsidR="009C765F" w:rsidRPr="0026276B">
        <w:rPr>
          <w:rFonts w:hint="eastAsia"/>
          <w:b/>
        </w:rPr>
        <w:t>、</w:t>
      </w:r>
      <w:r w:rsidR="009C765F" w:rsidRPr="0026276B">
        <w:rPr>
          <w:b/>
        </w:rPr>
        <w:t>allelic variant</w:t>
      </w:r>
      <w:r w:rsidR="009C765F">
        <w:rPr>
          <w:rFonts w:hint="eastAsia"/>
        </w:rPr>
        <w:t>を使用する。すなわち変異には単に変化を示す時や、疾患原因の変化を示す場合があり、一方多型には疾患原因の変化ではないという意味や一般集団中</w:t>
      </w:r>
      <w:r w:rsidR="009C765F">
        <w:rPr>
          <w:rFonts w:hint="eastAsia"/>
        </w:rPr>
        <w:t>1%</w:t>
      </w:r>
      <w:r w:rsidR="009C765F">
        <w:rPr>
          <w:rFonts w:hint="eastAsia"/>
        </w:rPr>
        <w:t>以上に頻度を示すものという意味があり混乱を来しているからである。よって</w:t>
      </w:r>
      <w:r w:rsidR="009C765F" w:rsidRPr="009C765F">
        <w:rPr>
          <w:rFonts w:hint="eastAsia"/>
        </w:rPr>
        <w:t>SNP</w:t>
      </w:r>
      <w:r w:rsidR="009C765F" w:rsidRPr="009C765F">
        <w:rPr>
          <w:rFonts w:hint="eastAsia"/>
        </w:rPr>
        <w:t>または</w:t>
      </w:r>
      <w:r w:rsidR="009C765F" w:rsidRPr="009C765F">
        <w:rPr>
          <w:rFonts w:hint="eastAsia"/>
        </w:rPr>
        <w:t>Single Nucleotide Polymorphism</w:t>
      </w:r>
      <w:r w:rsidR="009C765F">
        <w:rPr>
          <w:rFonts w:hint="eastAsia"/>
        </w:rPr>
        <w:t>という単語も用いない。</w:t>
      </w:r>
    </w:p>
    <w:p w:rsidR="00F857E5" w:rsidRDefault="009C765F" w:rsidP="009C765F">
      <w:pPr>
        <w:ind w:left="360" w:firstLineChars="100" w:firstLine="210"/>
      </w:pPr>
      <w:r>
        <w:rPr>
          <w:rFonts w:hint="eastAsia"/>
        </w:rPr>
        <w:t>同様に</w:t>
      </w:r>
      <w:r w:rsidRPr="009C765F">
        <w:rPr>
          <w:rFonts w:hint="eastAsia"/>
        </w:rPr>
        <w:t>病原性の</w:t>
      </w:r>
      <w:r>
        <w:rPr>
          <w:rFonts w:hint="eastAsia"/>
        </w:rPr>
        <w:t>（</w:t>
      </w:r>
      <w:r>
        <w:rPr>
          <w:rFonts w:hint="eastAsia"/>
        </w:rPr>
        <w:t>pathogenic</w:t>
      </w:r>
      <w:r>
        <w:rPr>
          <w:rFonts w:hint="eastAsia"/>
        </w:rPr>
        <w:t>）</w:t>
      </w:r>
      <w:r w:rsidR="0026276B">
        <w:rPr>
          <w:rFonts w:hint="eastAsia"/>
        </w:rPr>
        <w:t>という単語</w:t>
      </w:r>
      <w:r w:rsidR="00F857E5">
        <w:rPr>
          <w:rFonts w:hint="eastAsia"/>
        </w:rPr>
        <w:t>を使用せず、</w:t>
      </w:r>
      <w:r w:rsidR="00F857E5" w:rsidRPr="0026276B">
        <w:rPr>
          <w:b/>
        </w:rPr>
        <w:t>affects function</w:t>
      </w:r>
      <w:r w:rsidR="000A2B8A">
        <w:rPr>
          <w:rFonts w:hint="eastAsia"/>
        </w:rPr>
        <w:t>を使用するよう推奨している。これは</w:t>
      </w:r>
      <w:r w:rsidR="000A2B8A">
        <w:rPr>
          <w:rFonts w:hint="eastAsia"/>
        </w:rPr>
        <w:t>pathogenic</w:t>
      </w:r>
      <w:r w:rsidR="000A2B8A">
        <w:rPr>
          <w:rFonts w:hint="eastAsia"/>
        </w:rPr>
        <w:t>という単語を聞いた非熟練者が短絡的に疾患原因を想起するのに対し、熟練者は特定の状況下で疾患原因になると理解することに依る。</w:t>
      </w:r>
    </w:p>
    <w:p w:rsidR="000A2B8A" w:rsidRDefault="000A2B8A" w:rsidP="009C765F">
      <w:pPr>
        <w:ind w:left="360" w:firstLineChars="100" w:firstLine="210"/>
      </w:pPr>
      <w:r>
        <w:rPr>
          <w:rFonts w:hint="eastAsia"/>
        </w:rPr>
        <w:t>バリアントは以下の</w:t>
      </w:r>
      <w:r>
        <w:rPr>
          <w:rFonts w:hint="eastAsia"/>
        </w:rPr>
        <w:t>5</w:t>
      </w:r>
      <w:r>
        <w:rPr>
          <w:rFonts w:hint="eastAsia"/>
        </w:rPr>
        <w:t>つのカテゴリーに分類される。</w:t>
      </w:r>
    </w:p>
    <w:p w:rsidR="000A2B8A" w:rsidRDefault="000A2B8A" w:rsidP="000A2B8A">
      <w:pPr>
        <w:pStyle w:val="a4"/>
        <w:numPr>
          <w:ilvl w:val="0"/>
          <w:numId w:val="3"/>
        </w:numPr>
        <w:ind w:leftChars="0"/>
      </w:pPr>
      <w:r w:rsidRPr="000A2B8A">
        <w:t xml:space="preserve">affects </w:t>
      </w:r>
      <w:r>
        <w:t>function</w:t>
      </w:r>
      <w:r>
        <w:rPr>
          <w:rFonts w:hint="eastAsia"/>
        </w:rPr>
        <w:t>（機能に影響あり）</w:t>
      </w:r>
      <w:r>
        <w:tab/>
      </w:r>
      <w:r>
        <w:rPr>
          <w:rFonts w:hint="eastAsia"/>
        </w:rPr>
        <w:t>：機能に影響</w:t>
      </w:r>
      <w:r w:rsidR="00D014C0">
        <w:rPr>
          <w:rFonts w:hint="eastAsia"/>
        </w:rPr>
        <w:t>している</w:t>
      </w:r>
      <w:r>
        <w:rPr>
          <w:rFonts w:hint="eastAsia"/>
        </w:rPr>
        <w:t>場合</w:t>
      </w:r>
    </w:p>
    <w:p w:rsidR="000A2B8A" w:rsidRDefault="000A2B8A" w:rsidP="000A2B8A">
      <w:pPr>
        <w:pStyle w:val="a4"/>
        <w:numPr>
          <w:ilvl w:val="0"/>
          <w:numId w:val="3"/>
        </w:numPr>
        <w:ind w:leftChars="0"/>
      </w:pPr>
      <w:r w:rsidRPr="000A2B8A">
        <w:t>probably affects function</w:t>
      </w:r>
      <w:r>
        <w:tab/>
      </w:r>
      <w:r>
        <w:tab/>
      </w:r>
      <w:r>
        <w:rPr>
          <w:rFonts w:hint="eastAsia"/>
        </w:rPr>
        <w:t>：おそらく機能に影響している場合</w:t>
      </w:r>
    </w:p>
    <w:p w:rsidR="000A2B8A" w:rsidRDefault="000A2B8A" w:rsidP="00D014C0">
      <w:pPr>
        <w:pStyle w:val="a4"/>
        <w:numPr>
          <w:ilvl w:val="0"/>
          <w:numId w:val="3"/>
        </w:numPr>
        <w:ind w:leftChars="0"/>
      </w:pPr>
      <w:r w:rsidRPr="000A2B8A">
        <w:t>unknown</w:t>
      </w:r>
      <w:r w:rsidR="00D014C0">
        <w:tab/>
      </w:r>
      <w:r w:rsidR="00D014C0">
        <w:tab/>
      </w:r>
      <w:r w:rsidR="00D014C0">
        <w:tab/>
      </w:r>
      <w:r>
        <w:tab/>
      </w:r>
      <w:r>
        <w:rPr>
          <w:rFonts w:hint="eastAsia"/>
        </w:rPr>
        <w:t>：</w:t>
      </w:r>
      <w:r w:rsidR="00D014C0">
        <w:rPr>
          <w:rFonts w:hint="eastAsia"/>
        </w:rPr>
        <w:t>機能に影響しているか不明の場合</w:t>
      </w:r>
    </w:p>
    <w:p w:rsidR="00D014C0" w:rsidRDefault="00D014C0" w:rsidP="00D014C0">
      <w:pPr>
        <w:pStyle w:val="a4"/>
        <w:ind w:leftChars="0" w:left="720"/>
      </w:pPr>
      <w:r w:rsidRPr="00D014C0">
        <w:t>variants of</w:t>
      </w:r>
      <w:r>
        <w:t xml:space="preserve"> unknown significance (VUS)</w:t>
      </w:r>
      <w:r>
        <w:rPr>
          <w:rFonts w:hint="eastAsia"/>
        </w:rPr>
        <w:t>ともいう。</w:t>
      </w:r>
    </w:p>
    <w:p w:rsidR="00D014C0" w:rsidRDefault="00D014C0" w:rsidP="000A2B8A">
      <w:pPr>
        <w:pStyle w:val="a4"/>
        <w:numPr>
          <w:ilvl w:val="0"/>
          <w:numId w:val="3"/>
        </w:numPr>
        <w:ind w:leftChars="0"/>
      </w:pPr>
      <w:r w:rsidRPr="000A2B8A">
        <w:t>probably does not affect function</w:t>
      </w:r>
      <w:r>
        <w:tab/>
      </w:r>
      <w:r>
        <w:rPr>
          <w:rFonts w:hint="eastAsia"/>
        </w:rPr>
        <w:t>：おそらく機能に影響していない場合</w:t>
      </w:r>
    </w:p>
    <w:p w:rsidR="00D014C0" w:rsidRDefault="00D014C0" w:rsidP="000A2B8A">
      <w:pPr>
        <w:pStyle w:val="a4"/>
        <w:numPr>
          <w:ilvl w:val="0"/>
          <w:numId w:val="3"/>
        </w:numPr>
        <w:ind w:leftChars="0"/>
      </w:pPr>
      <w:r w:rsidRPr="000A2B8A">
        <w:t>does not affect function</w:t>
      </w:r>
      <w:r>
        <w:tab/>
      </w:r>
      <w:r>
        <w:tab/>
      </w:r>
      <w:r>
        <w:rPr>
          <w:rFonts w:hint="eastAsia"/>
        </w:rPr>
        <w:t>：機能に影響していない場合</w:t>
      </w:r>
    </w:p>
    <w:p w:rsidR="00D014C0" w:rsidRDefault="00D014C0" w:rsidP="00D014C0">
      <w:pPr>
        <w:pStyle w:val="a4"/>
        <w:ind w:leftChars="0" w:left="360"/>
      </w:pPr>
    </w:p>
    <w:p w:rsidR="00D90738" w:rsidRDefault="00D014C0" w:rsidP="00D90738">
      <w:pPr>
        <w:pStyle w:val="a4"/>
        <w:numPr>
          <w:ilvl w:val="0"/>
          <w:numId w:val="1"/>
        </w:numPr>
        <w:ind w:leftChars="0"/>
      </w:pPr>
      <w:r>
        <w:t>HGVS</w:t>
      </w:r>
      <w:r>
        <w:rPr>
          <w:rFonts w:hint="eastAsia"/>
        </w:rPr>
        <w:t>表記法</w:t>
      </w:r>
      <w:r w:rsidR="00D90738">
        <w:rPr>
          <w:rFonts w:hint="eastAsia"/>
        </w:rPr>
        <w:t>具体例</w:t>
      </w:r>
    </w:p>
    <w:p w:rsidR="00D014C0" w:rsidRDefault="00D90738" w:rsidP="00D90738">
      <w:pPr>
        <w:pStyle w:val="a4"/>
        <w:ind w:leftChars="0" w:left="360" w:firstLineChars="100" w:firstLine="210"/>
      </w:pPr>
      <w:r>
        <w:t>HGVS</w:t>
      </w:r>
      <w:r>
        <w:rPr>
          <w:rFonts w:hint="eastAsia"/>
        </w:rPr>
        <w:t>表記法</w:t>
      </w:r>
      <w:r w:rsidR="00D014C0">
        <w:rPr>
          <w:rFonts w:hint="eastAsia"/>
        </w:rPr>
        <w:t>によると参照配列のナンバー、コロン「</w:t>
      </w:r>
      <w:r w:rsidR="00D014C0">
        <w:rPr>
          <w:rFonts w:hint="eastAsia"/>
        </w:rPr>
        <w:t>:</w:t>
      </w:r>
      <w:r w:rsidR="00D014C0">
        <w:rPr>
          <w:rFonts w:hint="eastAsia"/>
        </w:rPr>
        <w:t>」、バリエーション情報（位置</w:t>
      </w:r>
      <w:r w:rsidR="00D014C0">
        <w:rPr>
          <w:rFonts w:hint="eastAsia"/>
        </w:rPr>
        <w:lastRenderedPageBreak/>
        <w:t>および変化）を順に空白なしに記載することになっている。参照配列のナンバーについてはもしバージョンアップ</w:t>
      </w:r>
      <w:r w:rsidR="00D62A50">
        <w:rPr>
          <w:rFonts w:hint="eastAsia"/>
        </w:rPr>
        <w:t>（修正版）</w:t>
      </w:r>
      <w:r w:rsidR="00D014C0">
        <w:rPr>
          <w:rFonts w:hint="eastAsia"/>
        </w:rPr>
        <w:t>されていたら必ずそれも含む。</w:t>
      </w:r>
    </w:p>
    <w:p w:rsidR="008B121C" w:rsidRDefault="00D014C0" w:rsidP="008B121C">
      <w:pPr>
        <w:pStyle w:val="a4"/>
        <w:ind w:leftChars="0" w:left="360" w:firstLineChars="100" w:firstLine="210"/>
      </w:pPr>
      <w:r>
        <w:rPr>
          <w:rFonts w:hint="eastAsia"/>
        </w:rPr>
        <w:t>例を示すと</w:t>
      </w:r>
      <w:r w:rsidRPr="00002CDA">
        <w:t>NM_020631.</w:t>
      </w:r>
      <w:r>
        <w:t>3</w:t>
      </w:r>
      <w:r w:rsidRPr="00002CDA">
        <w:t>:c.1940T&gt;C</w:t>
      </w:r>
      <w:r>
        <w:rPr>
          <w:rFonts w:hint="eastAsia"/>
        </w:rPr>
        <w:t>が意味するところは、</w:t>
      </w:r>
      <w:r w:rsidRPr="00A94AD9">
        <w:rPr>
          <w:i/>
        </w:rPr>
        <w:t>PLEKHG5</w:t>
      </w:r>
      <w:r>
        <w:rPr>
          <w:rFonts w:hint="eastAsia"/>
        </w:rPr>
        <w:t>遺伝子</w:t>
      </w:r>
      <w:r>
        <w:rPr>
          <w:rFonts w:hint="eastAsia"/>
        </w:rPr>
        <w:t>mRNA</w:t>
      </w:r>
      <w:r>
        <w:rPr>
          <w:rFonts w:hint="eastAsia"/>
        </w:rPr>
        <w:t>の修正</w:t>
      </w:r>
      <w:r>
        <w:rPr>
          <w:rFonts w:hint="eastAsia"/>
        </w:rPr>
        <w:t xml:space="preserve"> </w:t>
      </w:r>
      <w:r>
        <w:t>3</w:t>
      </w:r>
      <w:r>
        <w:rPr>
          <w:rFonts w:hint="eastAsia"/>
        </w:rPr>
        <w:t>版を参照配列としコーディング参照配列のスタートコドンの</w:t>
      </w:r>
      <w:r>
        <w:rPr>
          <w:rFonts w:hint="eastAsia"/>
        </w:rPr>
        <w:t>A</w:t>
      </w:r>
      <w:r>
        <w:rPr>
          <w:rFonts w:hint="eastAsia"/>
        </w:rPr>
        <w:t>を</w:t>
      </w:r>
      <w:r>
        <w:rPr>
          <w:rFonts w:hint="eastAsia"/>
        </w:rPr>
        <w:t>+1</w:t>
      </w:r>
      <w:r>
        <w:rPr>
          <w:rFonts w:hint="eastAsia"/>
        </w:rPr>
        <w:t>とした場合に</w:t>
      </w:r>
      <w:r w:rsidRPr="00002CDA">
        <w:t>1940</w:t>
      </w:r>
      <w:r>
        <w:rPr>
          <w:rFonts w:hint="eastAsia"/>
        </w:rPr>
        <w:t>に位置する塩基である</w:t>
      </w:r>
      <w:r>
        <w:t>T</w:t>
      </w:r>
      <w:r>
        <w:rPr>
          <w:rFonts w:hint="eastAsia"/>
        </w:rPr>
        <w:t>が</w:t>
      </w:r>
      <w:r>
        <w:rPr>
          <w:rFonts w:hint="eastAsia"/>
        </w:rPr>
        <w:t>C</w:t>
      </w:r>
      <w:r>
        <w:rPr>
          <w:rFonts w:hint="eastAsia"/>
        </w:rPr>
        <w:t>に変化するバリアントということになる。これは</w:t>
      </w:r>
      <w:r>
        <w:rPr>
          <w:rFonts w:hint="eastAsia"/>
        </w:rPr>
        <w:t>HGVS</w:t>
      </w:r>
      <w:r>
        <w:rPr>
          <w:rFonts w:hint="eastAsia"/>
        </w:rPr>
        <w:t>データによると</w:t>
      </w:r>
      <w:r w:rsidRPr="0018207D">
        <w:t>NC_000001.10:g.6529504A&gt;G, NC_000001.11:g.6469444A&gt;G, NG_007978.1:g.55566T&gt;C, NG_029910.1:g.1752T&gt;C, NM_001042663.1:c.2108T&gt;C, NM_001042664.1:c.1940T&gt;C, NM_001042665.1:c.1940T&gt;C, NM_001265592.1:c.2177T&gt;C, NM_001265593.1:c.2147T&gt;C, NM_001265594.1:c.1940T&gt;C, NM_020631.3:c.1940T&gt;C, NM_020631.4:c.1940T&gt;C, NM_198681.3:c.2171T&gt;C, NP_001036128.1:p.Phe703Ser, NP_001036129.1:p.Phe647Ser, NP_001036130.1:p.Phe647Ser, NP_001252521.1:p.Phe726Ser, NP_001252522.1:p.Phe716Ser, NP_001252523.1:p.Phe647Ser, NP_065682.2:p.Phe647Ser, NP_941374.2:p.Phe724Ser, XM_005263485.1:c.2171T&gt;C, XP_005263542.1:p.Phe724Ser</w:t>
      </w:r>
      <w:r>
        <w:rPr>
          <w:rFonts w:hint="eastAsia"/>
        </w:rPr>
        <w:t>と同一のものであり、</w:t>
      </w:r>
      <w:r>
        <w:rPr>
          <w:rFonts w:hint="eastAsia"/>
        </w:rPr>
        <w:t>OMIM</w:t>
      </w:r>
      <w:r>
        <w:rPr>
          <w:rFonts w:hint="eastAsia"/>
        </w:rPr>
        <w:t>データでは</w:t>
      </w:r>
      <w:r w:rsidRPr="0018207D">
        <w:t>allelic variants</w:t>
      </w:r>
      <w:r>
        <w:rPr>
          <w:rFonts w:hint="eastAsia"/>
        </w:rPr>
        <w:t>の</w:t>
      </w:r>
      <w:r w:rsidRPr="0018207D">
        <w:t>611101.0001</w:t>
      </w:r>
      <w:r>
        <w:rPr>
          <w:rFonts w:hint="eastAsia"/>
        </w:rPr>
        <w:t>として登録されている。</w:t>
      </w:r>
      <w:r>
        <w:rPr>
          <w:rFonts w:hint="eastAsia"/>
        </w:rPr>
        <w:t>dbSNP</w:t>
      </w:r>
      <w:r>
        <w:rPr>
          <w:rFonts w:hint="eastAsia"/>
        </w:rPr>
        <w:t>データベースでは</w:t>
      </w:r>
      <w:r w:rsidRPr="0018207D">
        <w:t>rs63750315 SNP</w:t>
      </w:r>
      <w:r>
        <w:rPr>
          <w:rFonts w:hint="eastAsia"/>
        </w:rPr>
        <w:t>となっている。</w:t>
      </w:r>
    </w:p>
    <w:p w:rsidR="002D1757" w:rsidRDefault="00B824C2" w:rsidP="008B121C">
      <w:pPr>
        <w:pStyle w:val="a4"/>
        <w:ind w:leftChars="0" w:left="360" w:firstLineChars="100" w:firstLine="210"/>
      </w:pPr>
      <w:r>
        <w:rPr>
          <w:rFonts w:hint="eastAsia"/>
        </w:rPr>
        <w:t>研究者がヒトバリエーションを</w:t>
      </w:r>
      <w:r>
        <w:rPr>
          <w:rFonts w:hint="eastAsia"/>
        </w:rPr>
        <w:t>submit</w:t>
      </w:r>
      <w:r>
        <w:rPr>
          <w:rFonts w:hint="eastAsia"/>
        </w:rPr>
        <w:t>する場合、</w:t>
      </w:r>
      <w:r w:rsidR="0084435C">
        <w:rPr>
          <w:rFonts w:hint="eastAsia"/>
        </w:rPr>
        <w:t>NCBI</w:t>
      </w:r>
      <w:r>
        <w:rPr>
          <w:rFonts w:hint="eastAsia"/>
        </w:rPr>
        <w:t>へ</w:t>
      </w:r>
      <w:r w:rsidR="00FD6D9F">
        <w:rPr>
          <w:rFonts w:hint="eastAsia"/>
        </w:rPr>
        <w:t>では</w:t>
      </w:r>
      <w:r>
        <w:rPr>
          <w:rFonts w:hint="eastAsia"/>
        </w:rPr>
        <w:t>インプット用の</w:t>
      </w:r>
      <w:r w:rsidR="0084435C">
        <w:rPr>
          <w:rFonts w:hint="eastAsia"/>
        </w:rPr>
        <w:t>exel</w:t>
      </w:r>
      <w:r w:rsidR="0084435C">
        <w:rPr>
          <w:rFonts w:hint="eastAsia"/>
        </w:rPr>
        <w:t>ファイルが用意されており（</w:t>
      </w:r>
      <w:r w:rsidR="0084435C" w:rsidRPr="0084435C">
        <w:t>http://www.ncbi.nlm.nih.gov/projects/SNP/tranSNP/tranSNP.cgi</w:t>
      </w:r>
      <w:r w:rsidR="0084435C">
        <w:rPr>
          <w:rFonts w:hint="eastAsia"/>
        </w:rPr>
        <w:t>）以下のようなデータを</w:t>
      </w:r>
      <w:r>
        <w:rPr>
          <w:rFonts w:hint="eastAsia"/>
        </w:rPr>
        <w:t>入れるようにしている。申請者の</w:t>
      </w:r>
      <w:r>
        <w:rPr>
          <w:rFonts w:hint="eastAsia"/>
        </w:rPr>
        <w:t>e-mail</w:t>
      </w:r>
      <w:r>
        <w:rPr>
          <w:rFonts w:hint="eastAsia"/>
        </w:rPr>
        <w:t>、</w:t>
      </w:r>
      <w:r>
        <w:t>HGVS</w:t>
      </w:r>
      <w:r>
        <w:rPr>
          <w:rFonts w:hint="eastAsia"/>
        </w:rPr>
        <w:t>表記法、疾患名（</w:t>
      </w:r>
      <w:r>
        <w:t>OMIM</w:t>
      </w:r>
      <w:r>
        <w:rPr>
          <w:rFonts w:hint="eastAsia"/>
        </w:rPr>
        <w:t>か</w:t>
      </w:r>
      <w:r>
        <w:t>MESH</w:t>
      </w:r>
      <w:r>
        <w:rPr>
          <w:rFonts w:hint="eastAsia"/>
        </w:rPr>
        <w:t>の</w:t>
      </w:r>
      <w:r>
        <w:rPr>
          <w:rFonts w:hint="eastAsia"/>
        </w:rPr>
        <w:t>ID</w:t>
      </w:r>
      <w:r>
        <w:rPr>
          <w:rFonts w:hint="eastAsia"/>
        </w:rPr>
        <w:t>）、臨床的</w:t>
      </w:r>
      <w:r w:rsidR="006909ED">
        <w:rPr>
          <w:rFonts w:hint="eastAsia"/>
        </w:rPr>
        <w:t>意義、</w:t>
      </w:r>
      <w:r w:rsidR="002D1757">
        <w:rPr>
          <w:rFonts w:hint="eastAsia"/>
        </w:rPr>
        <w:t>自</w:t>
      </w:r>
      <w:r w:rsidR="006909ED">
        <w:rPr>
          <w:rFonts w:hint="eastAsia"/>
        </w:rPr>
        <w:t>施設での</w:t>
      </w:r>
      <w:r w:rsidR="006909ED">
        <w:rPr>
          <w:rFonts w:hint="eastAsia"/>
        </w:rPr>
        <w:t>ID</w:t>
      </w:r>
      <w:r w:rsidR="006909ED">
        <w:rPr>
          <w:rFonts w:hint="eastAsia"/>
        </w:rPr>
        <w:t>、</w:t>
      </w:r>
      <w:r w:rsidR="006909ED" w:rsidRPr="006909ED">
        <w:t>OMIM allelic variant ID</w:t>
      </w:r>
      <w:r w:rsidR="006909ED">
        <w:rPr>
          <w:rFonts w:hint="eastAsia"/>
        </w:rPr>
        <w:t>、</w:t>
      </w:r>
      <w:r w:rsidR="002D1757">
        <w:rPr>
          <w:rFonts w:hint="eastAsia"/>
        </w:rPr>
        <w:t>独立して観察された回数、自施設での</w:t>
      </w:r>
      <w:r w:rsidR="002D1757">
        <w:rPr>
          <w:rFonts w:hint="eastAsia"/>
        </w:rPr>
        <w:t>website</w:t>
      </w:r>
      <w:r w:rsidR="002D1757">
        <w:rPr>
          <w:rFonts w:hint="eastAsia"/>
        </w:rPr>
        <w:t>へのリンク、</w:t>
      </w:r>
      <w:r w:rsidR="002D1757">
        <w:rPr>
          <w:rFonts w:hint="eastAsia"/>
        </w:rPr>
        <w:t>g</w:t>
      </w:r>
      <w:r w:rsidR="002D1757">
        <w:t>ermline</w:t>
      </w:r>
      <w:r w:rsidR="008622CF">
        <w:rPr>
          <w:rFonts w:hint="eastAsia"/>
        </w:rPr>
        <w:t>（生殖細胞系列）</w:t>
      </w:r>
      <w:r w:rsidR="002D1757">
        <w:rPr>
          <w:rFonts w:hint="eastAsia"/>
        </w:rPr>
        <w:t>か</w:t>
      </w:r>
      <w:r w:rsidR="002D1757">
        <w:t>s</w:t>
      </w:r>
      <w:r w:rsidR="002D1757" w:rsidRPr="002D1757">
        <w:t>omatic</w:t>
      </w:r>
      <w:r w:rsidR="008622CF">
        <w:rPr>
          <w:rFonts w:hint="eastAsia"/>
        </w:rPr>
        <w:t>（体細胞）</w:t>
      </w:r>
      <w:r w:rsidR="002D1757">
        <w:rPr>
          <w:rFonts w:hint="eastAsia"/>
        </w:rPr>
        <w:t>か、</w:t>
      </w:r>
      <w:r w:rsidR="00A02154">
        <w:rPr>
          <w:rFonts w:hint="eastAsia"/>
        </w:rPr>
        <w:t>バリアントの別称、その他の情報。</w:t>
      </w:r>
    </w:p>
    <w:p w:rsidR="00AC158E" w:rsidRDefault="008B121C" w:rsidP="00AE5D35">
      <w:pPr>
        <w:pStyle w:val="a4"/>
        <w:ind w:leftChars="0" w:left="360" w:firstLineChars="100" w:firstLine="210"/>
        <w:rPr>
          <w:rFonts w:hint="eastAsia"/>
        </w:rPr>
      </w:pPr>
      <w:r>
        <w:rPr>
          <w:rFonts w:hint="eastAsia"/>
        </w:rPr>
        <w:t>このことから</w:t>
      </w:r>
      <w:r>
        <w:rPr>
          <w:rFonts w:hint="eastAsia"/>
        </w:rPr>
        <w:t>NCBI</w:t>
      </w:r>
      <w:r>
        <w:rPr>
          <w:rFonts w:hint="eastAsia"/>
        </w:rPr>
        <w:t>や</w:t>
      </w:r>
      <w:r>
        <w:rPr>
          <w:rFonts w:hint="eastAsia"/>
        </w:rPr>
        <w:t>HGVS</w:t>
      </w:r>
      <w:r>
        <w:rPr>
          <w:rFonts w:hint="eastAsia"/>
        </w:rPr>
        <w:t>では</w:t>
      </w:r>
      <w:r w:rsidR="00FD6D9F">
        <w:rPr>
          <w:rFonts w:hint="eastAsia"/>
        </w:rPr>
        <w:t>HGVS</w:t>
      </w:r>
      <w:r w:rsidR="00FD6D9F">
        <w:rPr>
          <w:rFonts w:hint="eastAsia"/>
        </w:rPr>
        <w:t>表記法と</w:t>
      </w:r>
      <w:r w:rsidR="00FD6D9F">
        <w:rPr>
          <w:rFonts w:hint="eastAsia"/>
        </w:rPr>
        <w:t>OMIM</w:t>
      </w:r>
      <w:r w:rsidR="00FD6D9F">
        <w:rPr>
          <w:rFonts w:hint="eastAsia"/>
        </w:rPr>
        <w:t>の</w:t>
      </w:r>
      <w:r w:rsidR="00FD6D9F" w:rsidRPr="0018207D">
        <w:t>allelic variants</w:t>
      </w:r>
      <w:r>
        <w:rPr>
          <w:rFonts w:hint="eastAsia"/>
        </w:rPr>
        <w:t xml:space="preserve"> ID</w:t>
      </w:r>
      <w:r>
        <w:rPr>
          <w:rFonts w:hint="eastAsia"/>
        </w:rPr>
        <w:t>を重視しており、</w:t>
      </w:r>
      <w:r w:rsidR="00F03188">
        <w:rPr>
          <w:rFonts w:hint="eastAsia"/>
        </w:rPr>
        <w:t>NCBI</w:t>
      </w:r>
      <w:r w:rsidR="00F03188">
        <w:rPr>
          <w:rFonts w:hint="eastAsia"/>
        </w:rPr>
        <w:t>の</w:t>
      </w:r>
      <w:r w:rsidR="00F03188">
        <w:rPr>
          <w:rFonts w:hint="eastAsia"/>
        </w:rPr>
        <w:t>dbSNP</w:t>
      </w:r>
      <w:r w:rsidR="00F03188">
        <w:rPr>
          <w:rFonts w:hint="eastAsia"/>
        </w:rPr>
        <w:t>の</w:t>
      </w:r>
      <w:r w:rsidRPr="008B121C">
        <w:rPr>
          <w:rFonts w:hint="eastAsia"/>
        </w:rPr>
        <w:t>rs</w:t>
      </w:r>
      <w:r w:rsidRPr="008B121C">
        <w:rPr>
          <w:rFonts w:hint="eastAsia"/>
        </w:rPr>
        <w:t>ナンバー</w:t>
      </w:r>
      <w:r w:rsidR="00F03188">
        <w:rPr>
          <w:rFonts w:hint="eastAsia"/>
        </w:rPr>
        <w:t>（登録された</w:t>
      </w:r>
      <w:r w:rsidR="00F03188">
        <w:rPr>
          <w:rFonts w:hint="eastAsia"/>
        </w:rPr>
        <w:t>SNP</w:t>
      </w:r>
      <w:r w:rsidR="00F03188">
        <w:rPr>
          <w:rFonts w:hint="eastAsia"/>
        </w:rPr>
        <w:t>）</w:t>
      </w:r>
      <w:r w:rsidRPr="008B121C">
        <w:rPr>
          <w:rFonts w:hint="eastAsia"/>
        </w:rPr>
        <w:t>を必須としていないが、</w:t>
      </w:r>
      <w:r w:rsidR="00F03188">
        <w:rPr>
          <w:rFonts w:hint="eastAsia"/>
        </w:rPr>
        <w:t>日本での認知度では</w:t>
      </w:r>
      <w:r w:rsidR="00F03188">
        <w:rPr>
          <w:rFonts w:hint="eastAsia"/>
        </w:rPr>
        <w:t>OMIM</w:t>
      </w:r>
      <w:r w:rsidR="00F03188">
        <w:rPr>
          <w:rFonts w:hint="eastAsia"/>
        </w:rPr>
        <w:t>より</w:t>
      </w:r>
      <w:r w:rsidR="00F03188">
        <w:rPr>
          <w:rFonts w:hint="eastAsia"/>
        </w:rPr>
        <w:t>dbSNP</w:t>
      </w:r>
      <w:r w:rsidR="003E32C5">
        <w:rPr>
          <w:rFonts w:hint="eastAsia"/>
        </w:rPr>
        <w:t>が高いと思われるので、</w:t>
      </w:r>
      <w:r w:rsidRPr="008B121C">
        <w:rPr>
          <w:rFonts w:hint="eastAsia"/>
        </w:rPr>
        <w:t>補助データとして</w:t>
      </w:r>
      <w:r w:rsidR="003E32C5">
        <w:rPr>
          <w:rFonts w:hint="eastAsia"/>
        </w:rPr>
        <w:t>報告書などへの記載は有用であると考える</w:t>
      </w:r>
      <w:r w:rsidRPr="008B121C">
        <w:rPr>
          <w:rFonts w:hint="eastAsia"/>
        </w:rPr>
        <w:t>。</w:t>
      </w:r>
    </w:p>
    <w:p w:rsidR="00E620AF" w:rsidRDefault="00E620AF" w:rsidP="00E620AF">
      <w:pPr>
        <w:pStyle w:val="a4"/>
        <w:ind w:leftChars="0" w:left="360"/>
      </w:pPr>
    </w:p>
    <w:p w:rsidR="00E620AF" w:rsidRDefault="00AE5D35" w:rsidP="00AD6744">
      <w:pPr>
        <w:pStyle w:val="a4"/>
        <w:numPr>
          <w:ilvl w:val="0"/>
          <w:numId w:val="1"/>
        </w:numPr>
        <w:ind w:leftChars="0"/>
      </w:pPr>
      <w:r>
        <w:rPr>
          <w:rFonts w:hint="eastAsia"/>
        </w:rPr>
        <w:t>遺伝学的検査の報告書に記載すべきこと</w:t>
      </w:r>
    </w:p>
    <w:p w:rsidR="00775129" w:rsidRDefault="00775129" w:rsidP="004B4D60">
      <w:pPr>
        <w:pStyle w:val="a4"/>
        <w:ind w:leftChars="0" w:left="360" w:firstLineChars="100" w:firstLine="210"/>
      </w:pPr>
      <w:r>
        <w:t>2007</w:t>
      </w:r>
      <w:r>
        <w:rPr>
          <w:rFonts w:hint="eastAsia"/>
        </w:rPr>
        <w:t>年に出た</w:t>
      </w:r>
      <w:r>
        <w:t>OECD (organisation for economic co-operation</w:t>
      </w:r>
      <w:r>
        <w:rPr>
          <w:rFonts w:hint="eastAsia"/>
        </w:rPr>
        <w:t xml:space="preserve"> </w:t>
      </w:r>
      <w:r>
        <w:t>and development) guidelines for quality assurance</w:t>
      </w:r>
      <w:r>
        <w:rPr>
          <w:rFonts w:hint="eastAsia"/>
        </w:rPr>
        <w:t xml:space="preserve"> </w:t>
      </w:r>
      <w:r>
        <w:t>in molecular genetic testing</w:t>
      </w:r>
      <w:r>
        <w:rPr>
          <w:rFonts w:hint="eastAsia"/>
        </w:rPr>
        <w:t>（以下</w:t>
      </w:r>
      <w:r>
        <w:rPr>
          <w:rFonts w:hint="eastAsia"/>
        </w:rPr>
        <w:t>OECD</w:t>
      </w:r>
      <w:r>
        <w:rPr>
          <w:rFonts w:hint="eastAsia"/>
        </w:rPr>
        <w:t>ガイドライン）には遺伝学的検査の報告書には最低限以下の情報を含めるべきであるとある。</w:t>
      </w:r>
    </w:p>
    <w:p w:rsidR="00132570" w:rsidRDefault="00132570" w:rsidP="004B4D60">
      <w:pPr>
        <w:pStyle w:val="a4"/>
        <w:numPr>
          <w:ilvl w:val="0"/>
          <w:numId w:val="4"/>
        </w:numPr>
        <w:ind w:leftChars="0" w:firstLine="66"/>
      </w:pPr>
      <w:r>
        <w:rPr>
          <w:rFonts w:hint="eastAsia"/>
        </w:rPr>
        <w:t>被験者識別番号</w:t>
      </w:r>
    </w:p>
    <w:p w:rsidR="00132570" w:rsidRDefault="00132570" w:rsidP="004B4D60">
      <w:pPr>
        <w:pStyle w:val="a4"/>
        <w:numPr>
          <w:ilvl w:val="0"/>
          <w:numId w:val="4"/>
        </w:numPr>
        <w:ind w:leftChars="0" w:firstLine="66"/>
      </w:pPr>
      <w:r>
        <w:rPr>
          <w:rFonts w:hint="eastAsia"/>
        </w:rPr>
        <w:t>医療者氏名と連絡先</w:t>
      </w:r>
    </w:p>
    <w:p w:rsidR="00132570" w:rsidRDefault="00132570" w:rsidP="004B4D60">
      <w:pPr>
        <w:pStyle w:val="a4"/>
        <w:numPr>
          <w:ilvl w:val="0"/>
          <w:numId w:val="4"/>
        </w:numPr>
        <w:ind w:leftChars="0" w:firstLine="66"/>
      </w:pPr>
      <w:r>
        <w:rPr>
          <w:rFonts w:hint="eastAsia"/>
        </w:rPr>
        <w:lastRenderedPageBreak/>
        <w:t>検査の</w:t>
      </w:r>
      <w:r w:rsidR="00060F2A">
        <w:rPr>
          <w:rFonts w:hint="eastAsia"/>
        </w:rPr>
        <w:t>指示</w:t>
      </w:r>
      <w:r>
        <w:rPr>
          <w:rFonts w:hint="eastAsia"/>
        </w:rPr>
        <w:t>と</w:t>
      </w:r>
      <w:r w:rsidR="00060F2A">
        <w:rPr>
          <w:rFonts w:hint="eastAsia"/>
        </w:rPr>
        <w:t>検査解釈に関係する</w:t>
      </w:r>
      <w:r>
        <w:rPr>
          <w:rFonts w:hint="eastAsia"/>
        </w:rPr>
        <w:t>医学情報</w:t>
      </w:r>
    </w:p>
    <w:p w:rsidR="00132570" w:rsidRDefault="00942F87" w:rsidP="004B4D60">
      <w:pPr>
        <w:pStyle w:val="a4"/>
        <w:numPr>
          <w:ilvl w:val="0"/>
          <w:numId w:val="4"/>
        </w:numPr>
        <w:ind w:leftChars="0" w:firstLine="66"/>
      </w:pPr>
      <w:r>
        <w:rPr>
          <w:rFonts w:hint="eastAsia"/>
        </w:rPr>
        <w:t>検査方法（解析範囲と限界、感度、特異度を含む）</w:t>
      </w:r>
    </w:p>
    <w:p w:rsidR="00942F87" w:rsidRDefault="00942F87" w:rsidP="004B4D60">
      <w:pPr>
        <w:pStyle w:val="a4"/>
        <w:numPr>
          <w:ilvl w:val="0"/>
          <w:numId w:val="4"/>
        </w:numPr>
        <w:ind w:leftChars="0" w:firstLine="66"/>
      </w:pPr>
      <w:r>
        <w:rPr>
          <w:rFonts w:hint="eastAsia"/>
        </w:rPr>
        <w:t>サンプルの種類</w:t>
      </w:r>
      <w:r w:rsidR="00060F2A">
        <w:rPr>
          <w:rFonts w:hint="eastAsia"/>
        </w:rPr>
        <w:t>（解釈のために必要な）</w:t>
      </w:r>
    </w:p>
    <w:p w:rsidR="00942F87" w:rsidRDefault="00942F87" w:rsidP="004B4D60">
      <w:pPr>
        <w:pStyle w:val="a4"/>
        <w:numPr>
          <w:ilvl w:val="0"/>
          <w:numId w:val="4"/>
        </w:numPr>
        <w:ind w:leftChars="0" w:firstLine="66"/>
      </w:pPr>
      <w:r>
        <w:rPr>
          <w:rFonts w:hint="eastAsia"/>
        </w:rPr>
        <w:t>サンプル受領日</w:t>
      </w:r>
    </w:p>
    <w:p w:rsidR="00942F87" w:rsidRDefault="00942F87" w:rsidP="004B4D60">
      <w:pPr>
        <w:pStyle w:val="a4"/>
        <w:numPr>
          <w:ilvl w:val="0"/>
          <w:numId w:val="4"/>
        </w:numPr>
        <w:ind w:leftChars="0" w:firstLine="66"/>
      </w:pPr>
      <w:r>
        <w:rPr>
          <w:rFonts w:hint="eastAsia"/>
        </w:rPr>
        <w:t>検査実施施設名と住所（再外部委託の場合の施設を含む）</w:t>
      </w:r>
    </w:p>
    <w:p w:rsidR="00942F87" w:rsidRDefault="00942F87" w:rsidP="004B4D60">
      <w:pPr>
        <w:pStyle w:val="a4"/>
        <w:numPr>
          <w:ilvl w:val="0"/>
          <w:numId w:val="4"/>
        </w:numPr>
        <w:ind w:leftChars="0" w:firstLine="66"/>
      </w:pPr>
      <w:r>
        <w:rPr>
          <w:rFonts w:hint="eastAsia"/>
        </w:rPr>
        <w:t>検査結果</w:t>
      </w:r>
    </w:p>
    <w:p w:rsidR="00942F87" w:rsidRDefault="00942F87" w:rsidP="004B4D60">
      <w:pPr>
        <w:pStyle w:val="a4"/>
        <w:numPr>
          <w:ilvl w:val="0"/>
          <w:numId w:val="4"/>
        </w:numPr>
        <w:ind w:leftChars="0" w:firstLine="66"/>
      </w:pPr>
      <w:r>
        <w:rPr>
          <w:rFonts w:hint="eastAsia"/>
        </w:rPr>
        <w:t>結果の解釈と</w:t>
      </w:r>
      <w:r w:rsidR="00EF6954">
        <w:rPr>
          <w:rFonts w:hint="eastAsia"/>
        </w:rPr>
        <w:t>検査実施施設</w:t>
      </w:r>
      <w:r w:rsidR="00511D3F">
        <w:rPr>
          <w:rFonts w:hint="eastAsia"/>
        </w:rPr>
        <w:t>へ</w:t>
      </w:r>
      <w:r w:rsidR="00EF6954">
        <w:rPr>
          <w:rFonts w:hint="eastAsia"/>
        </w:rPr>
        <w:t>供給</w:t>
      </w:r>
      <w:r w:rsidR="00511D3F">
        <w:rPr>
          <w:rFonts w:hint="eastAsia"/>
        </w:rPr>
        <w:t>されたその他</w:t>
      </w:r>
      <w:r w:rsidR="00EF6954">
        <w:rPr>
          <w:rFonts w:hint="eastAsia"/>
        </w:rPr>
        <w:t>情報</w:t>
      </w:r>
    </w:p>
    <w:p w:rsidR="00EF6954" w:rsidRDefault="00EF6954" w:rsidP="004B4D60">
      <w:pPr>
        <w:pStyle w:val="a4"/>
        <w:numPr>
          <w:ilvl w:val="0"/>
          <w:numId w:val="4"/>
        </w:numPr>
        <w:ind w:leftChars="0" w:firstLine="66"/>
      </w:pPr>
      <w:r>
        <w:rPr>
          <w:rFonts w:hint="eastAsia"/>
        </w:rPr>
        <w:t>報告</w:t>
      </w:r>
      <w:r w:rsidR="00511D3F">
        <w:rPr>
          <w:rFonts w:hint="eastAsia"/>
        </w:rPr>
        <w:t>書承認</w:t>
      </w:r>
      <w:r>
        <w:rPr>
          <w:rFonts w:hint="eastAsia"/>
        </w:rPr>
        <w:t>者情報</w:t>
      </w:r>
    </w:p>
    <w:p w:rsidR="00EF6954" w:rsidRDefault="00EF6954" w:rsidP="004B4D60">
      <w:pPr>
        <w:pStyle w:val="a4"/>
        <w:numPr>
          <w:ilvl w:val="0"/>
          <w:numId w:val="4"/>
        </w:numPr>
        <w:ind w:leftChars="0" w:firstLine="66"/>
      </w:pPr>
      <w:r>
        <w:rPr>
          <w:rFonts w:hint="eastAsia"/>
        </w:rPr>
        <w:t>検査実施施設の連絡先</w:t>
      </w:r>
    </w:p>
    <w:p w:rsidR="00206CBC" w:rsidRDefault="00EF6954" w:rsidP="00206CBC">
      <w:pPr>
        <w:pStyle w:val="a4"/>
        <w:numPr>
          <w:ilvl w:val="0"/>
          <w:numId w:val="4"/>
        </w:numPr>
        <w:ind w:leftChars="0" w:firstLine="66"/>
      </w:pPr>
      <w:r>
        <w:rPr>
          <w:rFonts w:hint="eastAsia"/>
        </w:rPr>
        <w:t>報告書発行日</w:t>
      </w:r>
    </w:p>
    <w:p w:rsidR="00EF6954" w:rsidRDefault="00EE7F3F" w:rsidP="00206CBC">
      <w:pPr>
        <w:pStyle w:val="a4"/>
        <w:ind w:leftChars="0" w:left="426" w:firstLineChars="100" w:firstLine="210"/>
      </w:pPr>
      <w:r>
        <w:rPr>
          <w:rFonts w:hint="eastAsia"/>
        </w:rPr>
        <w:t>あと必要に応じて、以下の情報も含むべきである。</w:t>
      </w:r>
    </w:p>
    <w:p w:rsidR="00EE7F3F" w:rsidRDefault="00EE7F3F" w:rsidP="004B4D60">
      <w:pPr>
        <w:pStyle w:val="a4"/>
        <w:numPr>
          <w:ilvl w:val="0"/>
          <w:numId w:val="5"/>
        </w:numPr>
        <w:ind w:leftChars="0" w:firstLine="66"/>
      </w:pPr>
      <w:r>
        <w:rPr>
          <w:rFonts w:hint="eastAsia"/>
        </w:rPr>
        <w:t>有資格の医療者による遺伝カウンセリングの推奨</w:t>
      </w:r>
    </w:p>
    <w:p w:rsidR="00EB48E9" w:rsidRDefault="00EB48E9" w:rsidP="004B4D60">
      <w:pPr>
        <w:pStyle w:val="a4"/>
        <w:numPr>
          <w:ilvl w:val="0"/>
          <w:numId w:val="5"/>
        </w:numPr>
        <w:ind w:leftChars="0" w:firstLine="66"/>
      </w:pPr>
      <w:r>
        <w:rPr>
          <w:rFonts w:hint="eastAsia"/>
        </w:rPr>
        <w:t>他の血縁者への影響</w:t>
      </w:r>
    </w:p>
    <w:p w:rsidR="00206CBC" w:rsidRDefault="00EB48E9" w:rsidP="00206CBC">
      <w:pPr>
        <w:pStyle w:val="a4"/>
        <w:numPr>
          <w:ilvl w:val="0"/>
          <w:numId w:val="5"/>
        </w:numPr>
        <w:ind w:leftChars="0" w:firstLine="66"/>
      </w:pPr>
      <w:r>
        <w:rPr>
          <w:rFonts w:hint="eastAsia"/>
        </w:rPr>
        <w:t>フォローアップ検査の推奨</w:t>
      </w:r>
    </w:p>
    <w:p w:rsidR="00741517" w:rsidRDefault="00741517" w:rsidP="00206CBC">
      <w:pPr>
        <w:pStyle w:val="a4"/>
        <w:ind w:leftChars="0" w:left="426" w:firstLineChars="100" w:firstLine="210"/>
      </w:pPr>
      <w:r>
        <w:rPr>
          <w:rFonts w:hint="eastAsia"/>
        </w:rPr>
        <w:t>外部委託検査所によって報告された検査</w:t>
      </w:r>
      <w:r w:rsidRPr="00741517">
        <w:rPr>
          <w:rFonts w:hint="eastAsia"/>
        </w:rPr>
        <w:t>結果のすべての</w:t>
      </w:r>
      <w:r>
        <w:rPr>
          <w:rFonts w:hint="eastAsia"/>
        </w:rPr>
        <w:t>必要不可欠な</w:t>
      </w:r>
      <w:r w:rsidRPr="00741517">
        <w:rPr>
          <w:rFonts w:hint="eastAsia"/>
        </w:rPr>
        <w:t>関連した要素</w:t>
      </w:r>
      <w:r>
        <w:rPr>
          <w:rFonts w:hint="eastAsia"/>
        </w:rPr>
        <w:t>については</w:t>
      </w:r>
      <w:r w:rsidR="00AE5D35">
        <w:rPr>
          <w:rFonts w:hint="eastAsia"/>
        </w:rPr>
        <w:t>、</w:t>
      </w:r>
      <w:r>
        <w:rPr>
          <w:rFonts w:hint="eastAsia"/>
        </w:rPr>
        <w:t>検査をオーダーした医療者</w:t>
      </w:r>
      <w:r w:rsidR="00AE5D35">
        <w:rPr>
          <w:rFonts w:hint="eastAsia"/>
        </w:rPr>
        <w:t>への報告書に含めなければならない。</w:t>
      </w:r>
    </w:p>
    <w:p w:rsidR="00206CBC" w:rsidRDefault="00206CBC" w:rsidP="00206CBC">
      <w:pPr>
        <w:pStyle w:val="a4"/>
        <w:ind w:leftChars="0" w:left="0"/>
        <w:rPr>
          <w:rFonts w:hint="eastAsia"/>
        </w:rPr>
      </w:pPr>
    </w:p>
    <w:p w:rsidR="003A1D27" w:rsidRDefault="00266F69" w:rsidP="003A1D27">
      <w:pPr>
        <w:pStyle w:val="a4"/>
        <w:ind w:leftChars="202" w:left="424" w:firstLineChars="100" w:firstLine="210"/>
      </w:pPr>
      <w:r>
        <w:rPr>
          <w:rFonts w:hint="eastAsia"/>
        </w:rPr>
        <w:t>日本では</w:t>
      </w:r>
      <w:r>
        <w:rPr>
          <w:rFonts w:hint="eastAsia"/>
        </w:rPr>
        <w:t>OECD</w:t>
      </w:r>
      <w:r>
        <w:rPr>
          <w:rFonts w:hint="eastAsia"/>
        </w:rPr>
        <w:t>ガイドラインの原則を尊重、遵守しつつ、国内事情も考慮した形で遺伝子関連検査を実施する検査施設の質保証の実務に関する、「遺伝子関連検査に関する日本版ベストプラクティスガイドライン</w:t>
      </w:r>
      <w:r>
        <w:t>Tentative Guideline</w:t>
      </w:r>
      <w:r>
        <w:rPr>
          <w:rFonts w:hint="eastAsia"/>
        </w:rPr>
        <w:t>（暫定文書）」を</w:t>
      </w:r>
      <w:r>
        <w:rPr>
          <w:rFonts w:hint="eastAsia"/>
        </w:rPr>
        <w:t>2010</w:t>
      </w:r>
      <w:r>
        <w:rPr>
          <w:rFonts w:hint="eastAsia"/>
        </w:rPr>
        <w:t>年に特定非営利活動法人日本臨床検査標準協議会（</w:t>
      </w:r>
      <w:r>
        <w:rPr>
          <w:rFonts w:hint="eastAsia"/>
        </w:rPr>
        <w:t>JCCLS</w:t>
      </w:r>
      <w:r>
        <w:rPr>
          <w:rFonts w:hint="eastAsia"/>
        </w:rPr>
        <w:t>）遺伝子関連検査標準化専門委員会が作成</w:t>
      </w:r>
      <w:r w:rsidR="003A1D27">
        <w:rPr>
          <w:rFonts w:hint="eastAsia"/>
        </w:rPr>
        <w:t>・公表</w:t>
      </w:r>
      <w:r>
        <w:rPr>
          <w:rFonts w:hint="eastAsia"/>
        </w:rPr>
        <w:t>した。</w:t>
      </w:r>
      <w:r w:rsidR="003A1D27">
        <w:rPr>
          <w:rFonts w:hint="eastAsia"/>
        </w:rPr>
        <w:t>その中の「</w:t>
      </w:r>
      <w:r w:rsidR="003A1D27">
        <w:rPr>
          <w:rFonts w:hint="eastAsia"/>
        </w:rPr>
        <w:t>3.4</w:t>
      </w:r>
      <w:r w:rsidR="003A1D27">
        <w:rPr>
          <w:rFonts w:hint="eastAsia"/>
        </w:rPr>
        <w:t xml:space="preserve">　結果の報告の質」には以下のようなことがらを追加している。</w:t>
      </w:r>
    </w:p>
    <w:p w:rsidR="00517682" w:rsidRDefault="00517682" w:rsidP="00517682">
      <w:pPr>
        <w:pStyle w:val="a4"/>
        <w:numPr>
          <w:ilvl w:val="0"/>
          <w:numId w:val="8"/>
        </w:numPr>
        <w:ind w:leftChars="0"/>
      </w:pPr>
      <w:r>
        <w:rPr>
          <w:rFonts w:hint="eastAsia"/>
        </w:rPr>
        <w:t>サンプル採取日を記載する。</w:t>
      </w:r>
    </w:p>
    <w:p w:rsidR="00517682" w:rsidRDefault="00517682" w:rsidP="00517682">
      <w:pPr>
        <w:pStyle w:val="a4"/>
        <w:numPr>
          <w:ilvl w:val="0"/>
          <w:numId w:val="8"/>
        </w:numPr>
        <w:ind w:leftChars="0"/>
      </w:pPr>
      <w:r w:rsidRPr="00517682">
        <w:rPr>
          <w:rFonts w:hint="eastAsia"/>
        </w:rPr>
        <w:t>検体の状態に関する情報（必要に応じて、添加物、輸送や保存の状態等）</w:t>
      </w:r>
      <w:r>
        <w:rPr>
          <w:rFonts w:hint="eastAsia"/>
        </w:rPr>
        <w:t>を記載する。</w:t>
      </w:r>
    </w:p>
    <w:p w:rsidR="00517682" w:rsidRDefault="00517682" w:rsidP="00517682">
      <w:pPr>
        <w:pStyle w:val="a4"/>
        <w:numPr>
          <w:ilvl w:val="0"/>
          <w:numId w:val="8"/>
        </w:numPr>
        <w:ind w:leftChars="0"/>
      </w:pPr>
      <w:r>
        <w:rPr>
          <w:rFonts w:hint="eastAsia"/>
        </w:rPr>
        <w:t>検査結果の中間報告を行った場合は、その内容を最終報告に反映させる。</w:t>
      </w:r>
    </w:p>
    <w:p w:rsidR="00517682" w:rsidRDefault="00517682" w:rsidP="00517682">
      <w:pPr>
        <w:pStyle w:val="a4"/>
        <w:numPr>
          <w:ilvl w:val="0"/>
          <w:numId w:val="8"/>
        </w:numPr>
        <w:ind w:leftChars="0"/>
      </w:pPr>
      <w:r>
        <w:rPr>
          <w:rFonts w:hint="eastAsia"/>
        </w:rPr>
        <w:t>検査結果の解釈に必要な情報（報告書には、臨床的意義を含めた適切な医学的解釈を記載するとともに、依頼元に対して十分な情報提供に努めること。）を記載する。</w:t>
      </w:r>
    </w:p>
    <w:p w:rsidR="00A51174" w:rsidRDefault="00A51174" w:rsidP="00A51174">
      <w:pPr>
        <w:pStyle w:val="a4"/>
        <w:numPr>
          <w:ilvl w:val="0"/>
          <w:numId w:val="8"/>
        </w:numPr>
        <w:ind w:leftChars="0"/>
      </w:pPr>
      <w:r>
        <w:rPr>
          <w:rFonts w:hint="eastAsia"/>
        </w:rPr>
        <w:t>報告書には、塩基配列の記載に標準的な方法を用いる等、国際的に容認された用語と命名法を使用すべきである。ただし多数の高頻度変異で</w:t>
      </w:r>
      <w:r w:rsidRPr="00A51174">
        <w:rPr>
          <w:rFonts w:hint="eastAsia"/>
        </w:rPr>
        <w:t>標準的命名法と一致しない名称がついて</w:t>
      </w:r>
      <w:r>
        <w:rPr>
          <w:rFonts w:hint="eastAsia"/>
        </w:rPr>
        <w:t>いる場合併用を認める。</w:t>
      </w:r>
      <w:r w:rsidRPr="00A51174">
        <w:rPr>
          <w:rFonts w:hint="eastAsia"/>
        </w:rPr>
        <w:t>どの命名法を使用しているかを示すべきである。</w:t>
      </w:r>
    </w:p>
    <w:p w:rsidR="003A1D27" w:rsidRDefault="00A51174" w:rsidP="00A51174">
      <w:pPr>
        <w:pStyle w:val="a4"/>
        <w:numPr>
          <w:ilvl w:val="0"/>
          <w:numId w:val="8"/>
        </w:numPr>
        <w:ind w:leftChars="0"/>
      </w:pPr>
      <w:r>
        <w:rPr>
          <w:rFonts w:hint="eastAsia"/>
        </w:rPr>
        <w:t>検査結果を正確に解釈するためには、被検者・家族の情報が必要であることを、被検者に知らせるべきである。</w:t>
      </w:r>
    </w:p>
    <w:p w:rsidR="00266F69" w:rsidRDefault="003A1D27" w:rsidP="00A51174">
      <w:pPr>
        <w:pStyle w:val="a4"/>
        <w:numPr>
          <w:ilvl w:val="0"/>
          <w:numId w:val="8"/>
        </w:numPr>
        <w:ind w:leftChars="0"/>
      </w:pPr>
      <w:r>
        <w:rPr>
          <w:rFonts w:hint="eastAsia"/>
        </w:rPr>
        <w:t>検査施設は、報告に関連するすべての情報を</w:t>
      </w:r>
      <w:r w:rsidR="00A51174">
        <w:rPr>
          <w:rFonts w:hint="eastAsia"/>
        </w:rPr>
        <w:t>医療法に従い最低５年間</w:t>
      </w:r>
      <w:r>
        <w:rPr>
          <w:rFonts w:hint="eastAsia"/>
        </w:rPr>
        <w:t>記録・保存し</w:t>
      </w:r>
      <w:r>
        <w:rPr>
          <w:rFonts w:hint="eastAsia"/>
        </w:rPr>
        <w:lastRenderedPageBreak/>
        <w:t>ておかなければならない。ただし、検査実施施設の事情、技術要件によって可能な限り長期間とする。</w:t>
      </w:r>
    </w:p>
    <w:p w:rsidR="00266F69" w:rsidRDefault="00266F69" w:rsidP="00266F69"/>
    <w:p w:rsidR="00927EFC" w:rsidRPr="00857B69" w:rsidRDefault="00857B69" w:rsidP="00927EFC">
      <w:pPr>
        <w:pStyle w:val="a4"/>
        <w:numPr>
          <w:ilvl w:val="0"/>
          <w:numId w:val="1"/>
        </w:numPr>
        <w:ind w:leftChars="0"/>
        <w:rPr>
          <w:rFonts w:hint="eastAsia"/>
        </w:rPr>
      </w:pPr>
      <w:r>
        <w:rPr>
          <w:rFonts w:hint="eastAsia"/>
        </w:rPr>
        <w:t>遺伝学的検査の報告書フォーム例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3172"/>
        <w:gridCol w:w="2977"/>
        <w:gridCol w:w="957"/>
      </w:tblGrid>
      <w:tr w:rsidR="007244D5" w:rsidRPr="007244D5" w:rsidTr="0004408B">
        <w:trPr>
          <w:trHeight w:val="260"/>
        </w:trPr>
        <w:tc>
          <w:tcPr>
            <w:tcW w:w="1614" w:type="dxa"/>
            <w:shd w:val="clear" w:color="auto" w:fill="auto"/>
            <w:noWrap/>
            <w:hideMark/>
          </w:tcPr>
          <w:p w:rsidR="007244D5" w:rsidRPr="007244D5" w:rsidRDefault="007244D5" w:rsidP="007244D5">
            <w:r w:rsidRPr="007244D5">
              <w:rPr>
                <w:rFonts w:hint="eastAsia"/>
              </w:rPr>
              <w:t>報告日</w:t>
            </w:r>
          </w:p>
        </w:tc>
        <w:tc>
          <w:tcPr>
            <w:tcW w:w="3172" w:type="dxa"/>
            <w:shd w:val="clear" w:color="auto" w:fill="auto"/>
            <w:noWrap/>
            <w:hideMark/>
          </w:tcPr>
          <w:p w:rsidR="007244D5" w:rsidRPr="007244D5" w:rsidRDefault="007244D5">
            <w:pPr>
              <w:rPr>
                <w:rFonts w:hint="eastAsia"/>
              </w:rPr>
            </w:pPr>
          </w:p>
        </w:tc>
        <w:tc>
          <w:tcPr>
            <w:tcW w:w="2977" w:type="dxa"/>
            <w:shd w:val="clear" w:color="auto" w:fill="auto"/>
            <w:noWrap/>
            <w:hideMark/>
          </w:tcPr>
          <w:p w:rsidR="007244D5" w:rsidRPr="007244D5" w:rsidRDefault="007244D5"/>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r w:rsidRPr="007244D5">
              <w:rPr>
                <w:rFonts w:hint="eastAsia"/>
              </w:rPr>
              <w:t>依頼者情報</w:t>
            </w:r>
          </w:p>
        </w:tc>
        <w:tc>
          <w:tcPr>
            <w:tcW w:w="3172" w:type="dxa"/>
            <w:shd w:val="clear" w:color="auto" w:fill="auto"/>
            <w:noWrap/>
            <w:hideMark/>
          </w:tcPr>
          <w:p w:rsidR="007244D5" w:rsidRPr="007244D5" w:rsidRDefault="007244D5">
            <w:pPr>
              <w:rPr>
                <w:rFonts w:hint="eastAsia"/>
              </w:rPr>
            </w:pPr>
            <w:r w:rsidRPr="007244D5">
              <w:rPr>
                <w:rFonts w:hint="eastAsia"/>
              </w:rPr>
              <w:t>施設名</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依頼者</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r w:rsidRPr="007244D5">
              <w:rPr>
                <w:rFonts w:hint="eastAsia"/>
              </w:rPr>
              <w:t>ご机下</w:t>
            </w:r>
          </w:p>
        </w:tc>
      </w:tr>
      <w:tr w:rsidR="007244D5" w:rsidRPr="007244D5" w:rsidTr="0004408B">
        <w:trPr>
          <w:trHeight w:val="1320"/>
        </w:trPr>
        <w:tc>
          <w:tcPr>
            <w:tcW w:w="1614" w:type="dxa"/>
            <w:shd w:val="clear" w:color="auto" w:fill="auto"/>
            <w:noWrap/>
            <w:hideMark/>
          </w:tcPr>
          <w:p w:rsidR="007244D5" w:rsidRPr="007244D5" w:rsidRDefault="007244D5">
            <w:pPr>
              <w:rPr>
                <w:rFonts w:hint="eastAsia"/>
              </w:rPr>
            </w:pPr>
          </w:p>
        </w:tc>
        <w:tc>
          <w:tcPr>
            <w:tcW w:w="3172" w:type="dxa"/>
            <w:shd w:val="clear" w:color="auto" w:fill="auto"/>
            <w:noWrap/>
            <w:hideMark/>
          </w:tcPr>
          <w:p w:rsidR="007244D5" w:rsidRPr="007244D5" w:rsidRDefault="007244D5"/>
        </w:tc>
        <w:tc>
          <w:tcPr>
            <w:tcW w:w="2977" w:type="dxa"/>
            <w:shd w:val="clear" w:color="auto" w:fill="auto"/>
            <w:hideMark/>
          </w:tcPr>
          <w:p w:rsidR="007244D5" w:rsidRPr="007244D5" w:rsidRDefault="007244D5">
            <w:r w:rsidRPr="007244D5">
              <w:rPr>
                <w:rFonts w:hint="eastAsia"/>
              </w:rPr>
              <w:t>この度は私たちが実施している遺伝学的検査をご依頼くださいまして誠にありがとうございました。</w:t>
            </w:r>
          </w:p>
        </w:tc>
        <w:tc>
          <w:tcPr>
            <w:tcW w:w="957" w:type="dxa"/>
            <w:shd w:val="clear" w:color="auto" w:fill="auto"/>
            <w:hideMark/>
          </w:tcPr>
          <w:p w:rsidR="007244D5" w:rsidRPr="007244D5" w:rsidRDefault="007244D5">
            <w:pPr>
              <w:rPr>
                <w:rFonts w:hint="eastAsia"/>
              </w:rPr>
            </w:pPr>
          </w:p>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ご住所</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お電話</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FAX</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e-mail</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Web</w:t>
            </w:r>
            <w:r w:rsidRPr="007244D5">
              <w:rPr>
                <w:rFonts w:hint="eastAsia"/>
              </w:rPr>
              <w:t>サイト</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5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r w:rsidRPr="007244D5">
              <w:rPr>
                <w:rFonts w:hint="eastAsia"/>
              </w:rPr>
              <w:t>被験者データ</w:t>
            </w:r>
          </w:p>
        </w:tc>
        <w:tc>
          <w:tcPr>
            <w:tcW w:w="3172" w:type="dxa"/>
            <w:shd w:val="clear" w:color="auto" w:fill="auto"/>
            <w:noWrap/>
            <w:hideMark/>
          </w:tcPr>
          <w:p w:rsidR="007244D5" w:rsidRPr="007244D5" w:rsidRDefault="007244D5">
            <w:pPr>
              <w:rPr>
                <w:rFonts w:hint="eastAsia"/>
              </w:rPr>
            </w:pPr>
            <w:r w:rsidRPr="007244D5">
              <w:rPr>
                <w:rFonts w:hint="eastAsia"/>
              </w:rPr>
              <w:t>被験者識別番号（依頼施設）</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被験者識別番号（検査実施施設）</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被験者の医学的情報</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5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r w:rsidRPr="007244D5">
              <w:rPr>
                <w:rFonts w:hint="eastAsia"/>
              </w:rPr>
              <w:t>検体データ</w:t>
            </w:r>
          </w:p>
        </w:tc>
        <w:tc>
          <w:tcPr>
            <w:tcW w:w="3172" w:type="dxa"/>
            <w:shd w:val="clear" w:color="auto" w:fill="auto"/>
            <w:noWrap/>
            <w:hideMark/>
          </w:tcPr>
          <w:p w:rsidR="007244D5" w:rsidRPr="007244D5" w:rsidRDefault="007244D5">
            <w:pPr>
              <w:rPr>
                <w:rFonts w:hint="eastAsia"/>
              </w:rPr>
            </w:pPr>
            <w:r w:rsidRPr="007244D5">
              <w:rPr>
                <w:rFonts w:hint="eastAsia"/>
              </w:rPr>
              <w:t>検体の種類</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検体採取日</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抗凝固剤</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検体受領日</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検体輸送状態</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受領後検体保存条件</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核酸抽出法</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DNA</w:t>
            </w:r>
            <w:r w:rsidRPr="007244D5">
              <w:rPr>
                <w:rFonts w:hint="eastAsia"/>
              </w:rPr>
              <w:t>回収量</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DNA</w:t>
            </w:r>
            <w:r w:rsidRPr="007244D5">
              <w:rPr>
                <w:rFonts w:hint="eastAsia"/>
              </w:rPr>
              <w:t>保存条件</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67"/>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tc>
        <w:tc>
          <w:tcPr>
            <w:tcW w:w="957" w:type="dxa"/>
            <w:shd w:val="clear" w:color="auto" w:fill="auto"/>
            <w:noWrap/>
            <w:hideMark/>
          </w:tcPr>
          <w:p w:rsidR="007244D5" w:rsidRPr="007244D5" w:rsidRDefault="007244D5"/>
        </w:tc>
      </w:tr>
      <w:tr w:rsidR="007244D5" w:rsidRPr="007244D5" w:rsidTr="0004408B">
        <w:trPr>
          <w:trHeight w:val="564"/>
        </w:trPr>
        <w:tc>
          <w:tcPr>
            <w:tcW w:w="1614" w:type="dxa"/>
            <w:shd w:val="clear" w:color="auto" w:fill="auto"/>
            <w:noWrap/>
            <w:hideMark/>
          </w:tcPr>
          <w:p w:rsidR="007244D5" w:rsidRPr="007244D5" w:rsidRDefault="007244D5">
            <w:r w:rsidRPr="007244D5">
              <w:rPr>
                <w:rFonts w:hint="eastAsia"/>
              </w:rPr>
              <w:t>遺伝学的検査データ</w:t>
            </w:r>
          </w:p>
        </w:tc>
        <w:tc>
          <w:tcPr>
            <w:tcW w:w="3172" w:type="dxa"/>
            <w:shd w:val="clear" w:color="auto" w:fill="auto"/>
            <w:noWrap/>
            <w:hideMark/>
          </w:tcPr>
          <w:p w:rsidR="007244D5" w:rsidRPr="007244D5" w:rsidRDefault="007244D5">
            <w:pPr>
              <w:rPr>
                <w:rFonts w:hint="eastAsia"/>
              </w:rPr>
            </w:pPr>
            <w:r w:rsidRPr="007244D5">
              <w:rPr>
                <w:rFonts w:hint="eastAsia"/>
              </w:rPr>
              <w:t>検査の適用理由</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検査方法</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解析遺伝子</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解析範囲（</w:t>
            </w:r>
            <w:r w:rsidRPr="007244D5">
              <w:rPr>
                <w:rFonts w:hint="eastAsia"/>
              </w:rPr>
              <w:t>exon</w:t>
            </w:r>
            <w:r w:rsidRPr="007244D5">
              <w:rPr>
                <w:rFonts w:hint="eastAsia"/>
              </w:rPr>
              <w:t>）</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解析の限界</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感度、特異度</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検査結果</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sidP="007244D5">
            <w:r w:rsidRPr="007244D5">
              <w:rPr>
                <w:rFonts w:hint="eastAsia"/>
              </w:rPr>
              <w:t>バリアント</w:t>
            </w:r>
            <w:r w:rsidRPr="007244D5">
              <w:rPr>
                <w:rFonts w:hint="eastAsia"/>
              </w:rPr>
              <w:t>HGCS</w:t>
            </w:r>
            <w:r w:rsidRPr="007244D5">
              <w:rPr>
                <w:rFonts w:hint="eastAsia"/>
              </w:rPr>
              <w:t>表記</w:t>
            </w:r>
          </w:p>
        </w:tc>
        <w:tc>
          <w:tcPr>
            <w:tcW w:w="2977" w:type="dxa"/>
            <w:shd w:val="clear" w:color="auto" w:fill="auto"/>
            <w:noWrap/>
            <w:hideMark/>
          </w:tcPr>
          <w:p w:rsidR="007244D5" w:rsidRPr="007244D5" w:rsidRDefault="007244D5" w:rsidP="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sidP="007244D5">
            <w:r w:rsidRPr="007244D5">
              <w:rPr>
                <w:rFonts w:hint="eastAsia"/>
              </w:rPr>
              <w:t>バリアントその他の表記</w:t>
            </w:r>
          </w:p>
        </w:tc>
        <w:tc>
          <w:tcPr>
            <w:tcW w:w="2977" w:type="dxa"/>
            <w:shd w:val="clear" w:color="auto" w:fill="auto"/>
            <w:noWrap/>
            <w:hideMark/>
          </w:tcPr>
          <w:p w:rsidR="007244D5" w:rsidRPr="007244D5" w:rsidRDefault="007244D5" w:rsidP="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9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r w:rsidRPr="007244D5">
              <w:rPr>
                <w:rFonts w:hint="eastAsia"/>
              </w:rPr>
              <w:t>1) affects function</w:t>
            </w:r>
            <w:r w:rsidRPr="007244D5">
              <w:rPr>
                <w:rFonts w:hint="eastAsia"/>
              </w:rPr>
              <w:t>：</w:t>
            </w:r>
            <w:r w:rsidRPr="007244D5">
              <w:rPr>
                <w:rFonts w:hint="eastAsia"/>
              </w:rPr>
              <w:t xml:space="preserve"> </w:t>
            </w:r>
            <w:r w:rsidRPr="007244D5">
              <w:rPr>
                <w:rFonts w:hint="eastAsia"/>
              </w:rPr>
              <w:t>機能に影響</w:t>
            </w:r>
          </w:p>
        </w:tc>
        <w:tc>
          <w:tcPr>
            <w:tcW w:w="957" w:type="dxa"/>
            <w:shd w:val="clear" w:color="auto" w:fill="auto"/>
            <w:noWrap/>
            <w:hideMark/>
          </w:tcPr>
          <w:p w:rsidR="007244D5" w:rsidRPr="007244D5" w:rsidRDefault="007244D5">
            <w:pPr>
              <w:rPr>
                <w:rFonts w:hint="eastAsia"/>
              </w:rPr>
            </w:pPr>
          </w:p>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r w:rsidRPr="007244D5">
              <w:rPr>
                <w:rFonts w:hint="eastAsia"/>
              </w:rPr>
              <w:t>2) probably affects function</w:t>
            </w:r>
            <w:r w:rsidRPr="007244D5">
              <w:rPr>
                <w:rFonts w:hint="eastAsia"/>
              </w:rPr>
              <w:t>：</w:t>
            </w:r>
            <w:r w:rsidRPr="007244D5">
              <w:rPr>
                <w:rFonts w:hint="eastAsia"/>
              </w:rPr>
              <w:t xml:space="preserve"> </w:t>
            </w:r>
            <w:r w:rsidRPr="007244D5">
              <w:rPr>
                <w:rFonts w:hint="eastAsia"/>
              </w:rPr>
              <w:t>おそらく機能に影響</w:t>
            </w:r>
          </w:p>
        </w:tc>
        <w:tc>
          <w:tcPr>
            <w:tcW w:w="957" w:type="dxa"/>
            <w:shd w:val="clear" w:color="auto" w:fill="auto"/>
            <w:noWrap/>
            <w:hideMark/>
          </w:tcPr>
          <w:p w:rsidR="007244D5" w:rsidRPr="007244D5" w:rsidRDefault="007244D5">
            <w:pPr>
              <w:rPr>
                <w:rFonts w:hint="eastAsia"/>
              </w:rPr>
            </w:pPr>
          </w:p>
        </w:tc>
      </w:tr>
      <w:tr w:rsidR="007244D5" w:rsidRPr="007244D5" w:rsidTr="0004408B">
        <w:trPr>
          <w:trHeight w:val="41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r w:rsidRPr="007244D5">
              <w:rPr>
                <w:rFonts w:hint="eastAsia"/>
              </w:rPr>
              <w:t>3) unknown</w:t>
            </w:r>
            <w:r w:rsidRPr="007244D5">
              <w:rPr>
                <w:rFonts w:hint="eastAsia"/>
              </w:rPr>
              <w:t>：</w:t>
            </w:r>
            <w:r w:rsidRPr="007244D5">
              <w:rPr>
                <w:rFonts w:hint="eastAsia"/>
              </w:rPr>
              <w:t xml:space="preserve"> </w:t>
            </w:r>
            <w:r w:rsidRPr="007244D5">
              <w:rPr>
                <w:rFonts w:hint="eastAsia"/>
              </w:rPr>
              <w:t>機能に影響しているか不明の場合：</w:t>
            </w:r>
            <w:r w:rsidRPr="007244D5">
              <w:rPr>
                <w:rFonts w:hint="eastAsia"/>
              </w:rPr>
              <w:t>VUS</w:t>
            </w:r>
            <w:r w:rsidRPr="007244D5">
              <w:rPr>
                <w:rFonts w:hint="eastAsia"/>
              </w:rPr>
              <w:t>ともいう。</w:t>
            </w:r>
          </w:p>
        </w:tc>
        <w:tc>
          <w:tcPr>
            <w:tcW w:w="957" w:type="dxa"/>
            <w:shd w:val="clear" w:color="auto" w:fill="auto"/>
            <w:noWrap/>
            <w:hideMark/>
          </w:tcPr>
          <w:p w:rsidR="007244D5" w:rsidRPr="007244D5" w:rsidRDefault="007244D5">
            <w:pPr>
              <w:rPr>
                <w:rFonts w:hint="eastAsia"/>
              </w:rPr>
            </w:pPr>
          </w:p>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r w:rsidRPr="007244D5">
              <w:rPr>
                <w:rFonts w:hint="eastAsia"/>
              </w:rPr>
              <w:t xml:space="preserve">4) probably does not affect function </w:t>
            </w:r>
            <w:r w:rsidRPr="007244D5">
              <w:rPr>
                <w:rFonts w:hint="eastAsia"/>
              </w:rPr>
              <w:t>：</w:t>
            </w:r>
            <w:r w:rsidRPr="007244D5">
              <w:rPr>
                <w:rFonts w:hint="eastAsia"/>
              </w:rPr>
              <w:t xml:space="preserve"> </w:t>
            </w:r>
            <w:r w:rsidRPr="007244D5">
              <w:rPr>
                <w:rFonts w:hint="eastAsia"/>
              </w:rPr>
              <w:t>おそらく機能に影響していない</w:t>
            </w:r>
          </w:p>
        </w:tc>
        <w:tc>
          <w:tcPr>
            <w:tcW w:w="957" w:type="dxa"/>
            <w:shd w:val="clear" w:color="auto" w:fill="auto"/>
            <w:noWrap/>
            <w:hideMark/>
          </w:tcPr>
          <w:p w:rsidR="007244D5" w:rsidRPr="007244D5" w:rsidRDefault="007244D5">
            <w:pPr>
              <w:rPr>
                <w:rFonts w:hint="eastAsia"/>
              </w:rPr>
            </w:pPr>
          </w:p>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r w:rsidRPr="007244D5">
              <w:rPr>
                <w:rFonts w:hint="eastAsia"/>
              </w:rPr>
              <w:t>5) does not affect function</w:t>
            </w:r>
            <w:r w:rsidRPr="007244D5">
              <w:rPr>
                <w:rFonts w:hint="eastAsia"/>
              </w:rPr>
              <w:t>：</w:t>
            </w:r>
            <w:r w:rsidRPr="007244D5">
              <w:rPr>
                <w:rFonts w:hint="eastAsia"/>
              </w:rPr>
              <w:t xml:space="preserve"> </w:t>
            </w:r>
            <w:r w:rsidRPr="007244D5">
              <w:rPr>
                <w:rFonts w:hint="eastAsia"/>
              </w:rPr>
              <w:t>機能に影響していない</w:t>
            </w:r>
          </w:p>
        </w:tc>
        <w:tc>
          <w:tcPr>
            <w:tcW w:w="957" w:type="dxa"/>
            <w:shd w:val="clear" w:color="auto" w:fill="auto"/>
            <w:noWrap/>
            <w:hideMark/>
          </w:tcPr>
          <w:p w:rsidR="007244D5" w:rsidRPr="007244D5" w:rsidRDefault="007244D5">
            <w:pPr>
              <w:rPr>
                <w:rFonts w:hint="eastAsia"/>
              </w:rPr>
            </w:pPr>
          </w:p>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検査結果解説</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既知か未知か</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頻度</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結果解釈</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関連文献</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検査結果解説捕捉</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53"/>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r w:rsidRPr="007244D5">
              <w:rPr>
                <w:rFonts w:hint="eastAsia"/>
              </w:rPr>
              <w:t>遺伝カウンセリング体制</w:t>
            </w:r>
          </w:p>
        </w:tc>
        <w:tc>
          <w:tcPr>
            <w:tcW w:w="3172" w:type="dxa"/>
            <w:shd w:val="clear" w:color="auto" w:fill="auto"/>
            <w:noWrap/>
            <w:hideMark/>
          </w:tcPr>
          <w:p w:rsidR="007244D5" w:rsidRPr="007244D5" w:rsidRDefault="007244D5">
            <w:pPr>
              <w:rPr>
                <w:rFonts w:hint="eastAsia"/>
              </w:rPr>
            </w:pPr>
            <w:r w:rsidRPr="007244D5">
              <w:rPr>
                <w:rFonts w:hint="eastAsia"/>
              </w:rPr>
              <w:t>遺伝カウンセリングの推奨</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他の血縁者への影響</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フォローアップ検査の推奨</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76"/>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tc>
        <w:tc>
          <w:tcPr>
            <w:tcW w:w="2977" w:type="dxa"/>
            <w:shd w:val="clear" w:color="auto" w:fill="auto"/>
            <w:noWrap/>
            <w:hideMark/>
          </w:tcPr>
          <w:p w:rsidR="007244D5" w:rsidRPr="007244D5" w:rsidRDefault="007244D5"/>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r w:rsidRPr="007244D5">
              <w:rPr>
                <w:rFonts w:hint="eastAsia"/>
              </w:rPr>
              <w:t>検査実施施設情報</w:t>
            </w:r>
          </w:p>
        </w:tc>
        <w:tc>
          <w:tcPr>
            <w:tcW w:w="3172" w:type="dxa"/>
            <w:shd w:val="clear" w:color="auto" w:fill="auto"/>
            <w:noWrap/>
            <w:hideMark/>
          </w:tcPr>
          <w:p w:rsidR="007244D5" w:rsidRPr="007244D5" w:rsidRDefault="007244D5">
            <w:pPr>
              <w:rPr>
                <w:rFonts w:hint="eastAsia"/>
              </w:rPr>
            </w:pPr>
            <w:r w:rsidRPr="007244D5">
              <w:rPr>
                <w:rFonts w:hint="eastAsia"/>
              </w:rPr>
              <w:t>施設名</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報告書作成者</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報告書責任者</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r w:rsidRPr="007244D5">
              <w:rPr>
                <w:rFonts w:hint="eastAsia"/>
              </w:rPr>
              <w:t>役職</w:t>
            </w:r>
          </w:p>
        </w:tc>
      </w:tr>
      <w:tr w:rsidR="007244D5" w:rsidRPr="007244D5" w:rsidTr="0004408B">
        <w:trPr>
          <w:trHeight w:val="260"/>
        </w:trPr>
        <w:tc>
          <w:tcPr>
            <w:tcW w:w="1614" w:type="dxa"/>
            <w:shd w:val="clear" w:color="auto" w:fill="auto"/>
            <w:noWrap/>
            <w:hideMark/>
          </w:tcPr>
          <w:p w:rsidR="007244D5" w:rsidRPr="007244D5" w:rsidRDefault="007244D5">
            <w:pPr>
              <w:rPr>
                <w:rFonts w:hint="eastAsia"/>
              </w:rPr>
            </w:pPr>
          </w:p>
        </w:tc>
        <w:tc>
          <w:tcPr>
            <w:tcW w:w="3172" w:type="dxa"/>
            <w:shd w:val="clear" w:color="auto" w:fill="auto"/>
            <w:noWrap/>
            <w:hideMark/>
          </w:tcPr>
          <w:p w:rsidR="007244D5" w:rsidRPr="007244D5" w:rsidRDefault="007244D5">
            <w:r w:rsidRPr="007244D5">
              <w:rPr>
                <w:rFonts w:hint="eastAsia"/>
              </w:rPr>
              <w:t>所属</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住所</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電話</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FAX</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e-mail</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r w:rsidR="007244D5" w:rsidRPr="007244D5" w:rsidTr="0004408B">
        <w:trPr>
          <w:trHeight w:val="260"/>
        </w:trPr>
        <w:tc>
          <w:tcPr>
            <w:tcW w:w="1614" w:type="dxa"/>
            <w:shd w:val="clear" w:color="auto" w:fill="auto"/>
            <w:noWrap/>
            <w:hideMark/>
          </w:tcPr>
          <w:p w:rsidR="007244D5" w:rsidRPr="007244D5" w:rsidRDefault="007244D5"/>
        </w:tc>
        <w:tc>
          <w:tcPr>
            <w:tcW w:w="3172" w:type="dxa"/>
            <w:shd w:val="clear" w:color="auto" w:fill="auto"/>
            <w:noWrap/>
            <w:hideMark/>
          </w:tcPr>
          <w:p w:rsidR="007244D5" w:rsidRPr="007244D5" w:rsidRDefault="007244D5">
            <w:r w:rsidRPr="007244D5">
              <w:rPr>
                <w:rFonts w:hint="eastAsia"/>
              </w:rPr>
              <w:t>Web</w:t>
            </w:r>
            <w:r w:rsidRPr="007244D5">
              <w:rPr>
                <w:rFonts w:hint="eastAsia"/>
              </w:rPr>
              <w:t>サイト</w:t>
            </w:r>
          </w:p>
        </w:tc>
        <w:tc>
          <w:tcPr>
            <w:tcW w:w="2977" w:type="dxa"/>
            <w:shd w:val="clear" w:color="auto" w:fill="auto"/>
            <w:noWrap/>
            <w:hideMark/>
          </w:tcPr>
          <w:p w:rsidR="007244D5" w:rsidRPr="007244D5" w:rsidRDefault="007244D5">
            <w:pPr>
              <w:rPr>
                <w:rFonts w:hint="eastAsia"/>
              </w:rPr>
            </w:pPr>
          </w:p>
        </w:tc>
        <w:tc>
          <w:tcPr>
            <w:tcW w:w="957" w:type="dxa"/>
            <w:shd w:val="clear" w:color="auto" w:fill="auto"/>
            <w:noWrap/>
            <w:hideMark/>
          </w:tcPr>
          <w:p w:rsidR="007244D5" w:rsidRPr="007244D5" w:rsidRDefault="007244D5"/>
        </w:tc>
      </w:tr>
    </w:tbl>
    <w:p w:rsidR="005F3B27" w:rsidRDefault="005F3B27" w:rsidP="00927EFC">
      <w:pPr>
        <w:rPr>
          <w:rFonts w:hint="eastAsia"/>
        </w:rPr>
      </w:pPr>
    </w:p>
    <w:sectPr w:rsidR="005F3B2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4F" w:rsidRDefault="00BC654F" w:rsidP="00A778C1">
      <w:r>
        <w:separator/>
      </w:r>
    </w:p>
  </w:endnote>
  <w:endnote w:type="continuationSeparator" w:id="0">
    <w:p w:rsidR="00BC654F" w:rsidRDefault="00BC654F" w:rsidP="00A77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4F" w:rsidRDefault="00BC654F" w:rsidP="00A778C1">
      <w:r>
        <w:separator/>
      </w:r>
    </w:p>
  </w:footnote>
  <w:footnote w:type="continuationSeparator" w:id="0">
    <w:p w:rsidR="00BC654F" w:rsidRDefault="00BC654F" w:rsidP="00A77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07D8"/>
    <w:multiLevelType w:val="hybridMultilevel"/>
    <w:tmpl w:val="54C809E2"/>
    <w:lvl w:ilvl="0" w:tplc="5D7A9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E7B7E"/>
    <w:multiLevelType w:val="hybridMultilevel"/>
    <w:tmpl w:val="204206B2"/>
    <w:lvl w:ilvl="0" w:tplc="61D20D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E30D8C"/>
    <w:multiLevelType w:val="hybridMultilevel"/>
    <w:tmpl w:val="54C809E2"/>
    <w:lvl w:ilvl="0" w:tplc="5D7A9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BC366D"/>
    <w:multiLevelType w:val="hybridMultilevel"/>
    <w:tmpl w:val="80ACC230"/>
    <w:lvl w:ilvl="0" w:tplc="78EA1B3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4A3A4B4E"/>
    <w:multiLevelType w:val="hybridMultilevel"/>
    <w:tmpl w:val="54C809E2"/>
    <w:lvl w:ilvl="0" w:tplc="5D7A9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6127C3"/>
    <w:multiLevelType w:val="hybridMultilevel"/>
    <w:tmpl w:val="80ACC230"/>
    <w:lvl w:ilvl="0" w:tplc="78EA1B3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4AB229A"/>
    <w:multiLevelType w:val="hybridMultilevel"/>
    <w:tmpl w:val="54C809E2"/>
    <w:lvl w:ilvl="0" w:tplc="5D7A9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733FF5"/>
    <w:multiLevelType w:val="hybridMultilevel"/>
    <w:tmpl w:val="D78CAA7A"/>
    <w:lvl w:ilvl="0" w:tplc="5D7A9AF6">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5528"/>
    <w:rsid w:val="00002CDA"/>
    <w:rsid w:val="0004408B"/>
    <w:rsid w:val="000531F5"/>
    <w:rsid w:val="00060F2A"/>
    <w:rsid w:val="000A2B8A"/>
    <w:rsid w:val="0010305A"/>
    <w:rsid w:val="00132570"/>
    <w:rsid w:val="001568D7"/>
    <w:rsid w:val="0018207D"/>
    <w:rsid w:val="001F4405"/>
    <w:rsid w:val="00206CBC"/>
    <w:rsid w:val="0026276B"/>
    <w:rsid w:val="0026354B"/>
    <w:rsid w:val="00266F69"/>
    <w:rsid w:val="002A4D7C"/>
    <w:rsid w:val="002D1757"/>
    <w:rsid w:val="002E6AE3"/>
    <w:rsid w:val="003034FF"/>
    <w:rsid w:val="00355528"/>
    <w:rsid w:val="00363E8F"/>
    <w:rsid w:val="003A1D27"/>
    <w:rsid w:val="003C18BC"/>
    <w:rsid w:val="003E32C5"/>
    <w:rsid w:val="003E61F3"/>
    <w:rsid w:val="003E6CBD"/>
    <w:rsid w:val="003F2C49"/>
    <w:rsid w:val="004043DC"/>
    <w:rsid w:val="004B0968"/>
    <w:rsid w:val="004B4D60"/>
    <w:rsid w:val="00511D3F"/>
    <w:rsid w:val="00515E1F"/>
    <w:rsid w:val="00517682"/>
    <w:rsid w:val="00552A37"/>
    <w:rsid w:val="005A55F2"/>
    <w:rsid w:val="005B412D"/>
    <w:rsid w:val="005D0AB9"/>
    <w:rsid w:val="005F3B27"/>
    <w:rsid w:val="00673F80"/>
    <w:rsid w:val="006909ED"/>
    <w:rsid w:val="007244D5"/>
    <w:rsid w:val="00741517"/>
    <w:rsid w:val="00775129"/>
    <w:rsid w:val="00780BE5"/>
    <w:rsid w:val="00790C14"/>
    <w:rsid w:val="0083180F"/>
    <w:rsid w:val="0084435C"/>
    <w:rsid w:val="00857B69"/>
    <w:rsid w:val="008622CF"/>
    <w:rsid w:val="00873115"/>
    <w:rsid w:val="008B121C"/>
    <w:rsid w:val="008D4356"/>
    <w:rsid w:val="008E6E1C"/>
    <w:rsid w:val="00927EFC"/>
    <w:rsid w:val="00942F87"/>
    <w:rsid w:val="009C5128"/>
    <w:rsid w:val="009C765F"/>
    <w:rsid w:val="009F74FA"/>
    <w:rsid w:val="00A02154"/>
    <w:rsid w:val="00A318E2"/>
    <w:rsid w:val="00A51174"/>
    <w:rsid w:val="00A75549"/>
    <w:rsid w:val="00A778C1"/>
    <w:rsid w:val="00A94AD9"/>
    <w:rsid w:val="00AC158E"/>
    <w:rsid w:val="00AD6744"/>
    <w:rsid w:val="00AE5D35"/>
    <w:rsid w:val="00B35010"/>
    <w:rsid w:val="00B824C2"/>
    <w:rsid w:val="00BA44BE"/>
    <w:rsid w:val="00BC654F"/>
    <w:rsid w:val="00C117D8"/>
    <w:rsid w:val="00C31276"/>
    <w:rsid w:val="00C404F4"/>
    <w:rsid w:val="00C9446F"/>
    <w:rsid w:val="00D014C0"/>
    <w:rsid w:val="00D27112"/>
    <w:rsid w:val="00D62A50"/>
    <w:rsid w:val="00D7595D"/>
    <w:rsid w:val="00D81E55"/>
    <w:rsid w:val="00D90738"/>
    <w:rsid w:val="00DD3927"/>
    <w:rsid w:val="00DD3E68"/>
    <w:rsid w:val="00DE43BD"/>
    <w:rsid w:val="00E35C21"/>
    <w:rsid w:val="00E620AF"/>
    <w:rsid w:val="00E8393F"/>
    <w:rsid w:val="00EB48E9"/>
    <w:rsid w:val="00EE7F3F"/>
    <w:rsid w:val="00EF6954"/>
    <w:rsid w:val="00F03188"/>
    <w:rsid w:val="00F60B62"/>
    <w:rsid w:val="00F857E5"/>
    <w:rsid w:val="00F87D41"/>
    <w:rsid w:val="00FD6D9F"/>
    <w:rsid w:val="00FE2D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73115"/>
    <w:rPr>
      <w:color w:val="0563C1"/>
      <w:u w:val="single"/>
    </w:rPr>
  </w:style>
  <w:style w:type="character" w:customStyle="1" w:styleId="apple-converted-space">
    <w:name w:val="apple-converted-space"/>
    <w:basedOn w:val="a0"/>
    <w:rsid w:val="004043DC"/>
  </w:style>
  <w:style w:type="paragraph" w:styleId="a4">
    <w:name w:val="List Paragraph"/>
    <w:basedOn w:val="a"/>
    <w:uiPriority w:val="34"/>
    <w:qFormat/>
    <w:rsid w:val="00AD6744"/>
    <w:pPr>
      <w:ind w:leftChars="400" w:left="840"/>
    </w:pPr>
  </w:style>
  <w:style w:type="paragraph" w:styleId="a5">
    <w:name w:val="header"/>
    <w:basedOn w:val="a"/>
    <w:link w:val="a6"/>
    <w:uiPriority w:val="99"/>
    <w:unhideWhenUsed/>
    <w:rsid w:val="00A778C1"/>
    <w:pPr>
      <w:tabs>
        <w:tab w:val="center" w:pos="4252"/>
        <w:tab w:val="right" w:pos="8504"/>
      </w:tabs>
      <w:snapToGrid w:val="0"/>
    </w:pPr>
  </w:style>
  <w:style w:type="character" w:customStyle="1" w:styleId="a6">
    <w:name w:val="ヘッダー (文字)"/>
    <w:basedOn w:val="a0"/>
    <w:link w:val="a5"/>
    <w:uiPriority w:val="99"/>
    <w:rsid w:val="00A778C1"/>
  </w:style>
  <w:style w:type="paragraph" w:styleId="a7">
    <w:name w:val="footer"/>
    <w:basedOn w:val="a"/>
    <w:link w:val="a8"/>
    <w:uiPriority w:val="99"/>
    <w:unhideWhenUsed/>
    <w:rsid w:val="00A778C1"/>
    <w:pPr>
      <w:tabs>
        <w:tab w:val="center" w:pos="4252"/>
        <w:tab w:val="right" w:pos="8504"/>
      </w:tabs>
      <w:snapToGrid w:val="0"/>
    </w:pPr>
  </w:style>
  <w:style w:type="character" w:customStyle="1" w:styleId="a8">
    <w:name w:val="フッター (文字)"/>
    <w:basedOn w:val="a0"/>
    <w:link w:val="a7"/>
    <w:uiPriority w:val="99"/>
    <w:rsid w:val="00A778C1"/>
  </w:style>
  <w:style w:type="table" w:styleId="a9">
    <w:name w:val="Table Grid"/>
    <w:basedOn w:val="a1"/>
    <w:uiPriority w:val="39"/>
    <w:rsid w:val="00724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3753094">
      <w:bodyDiv w:val="1"/>
      <w:marLeft w:val="0"/>
      <w:marRight w:val="0"/>
      <w:marTop w:val="0"/>
      <w:marBottom w:val="0"/>
      <w:divBdr>
        <w:top w:val="none" w:sz="0" w:space="0" w:color="auto"/>
        <w:left w:val="none" w:sz="0" w:space="0" w:color="auto"/>
        <w:bottom w:val="none" w:sz="0" w:space="0" w:color="auto"/>
        <w:right w:val="none" w:sz="0" w:space="0" w:color="auto"/>
      </w:divBdr>
    </w:div>
    <w:div w:id="18998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hgvs.org/" TargetMode="External"/><Relationship Id="rId3" Type="http://schemas.openxmlformats.org/officeDocument/2006/relationships/settings" Target="settings.xml"/><Relationship Id="rId7" Type="http://schemas.openxmlformats.org/officeDocument/2006/relationships/hyperlink" Target="http://www.ddbj.nig.ac.jp/insdc/insdc-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ylianos.Antonarakis@medecine.unige.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922</Words>
  <Characters>5261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6171</CharactersWithSpaces>
  <SharedDoc>false</SharedDoc>
  <HLinks>
    <vt:vector size="18" baseType="variant">
      <vt:variant>
        <vt:i4>6815820</vt:i4>
      </vt:variant>
      <vt:variant>
        <vt:i4>6</vt:i4>
      </vt:variant>
      <vt:variant>
        <vt:i4>0</vt:i4>
      </vt:variant>
      <vt:variant>
        <vt:i4>5</vt:i4>
      </vt:variant>
      <vt:variant>
        <vt:lpwstr>mailto:Stylianos.Antonarakis@medecine.unige.ch</vt:lpwstr>
      </vt:variant>
      <vt:variant>
        <vt:lpwstr/>
      </vt:variant>
      <vt:variant>
        <vt:i4>4587596</vt:i4>
      </vt:variant>
      <vt:variant>
        <vt:i4>3</vt:i4>
      </vt:variant>
      <vt:variant>
        <vt:i4>0</vt:i4>
      </vt:variant>
      <vt:variant>
        <vt:i4>5</vt:i4>
      </vt:variant>
      <vt:variant>
        <vt:lpwstr>http://www.hgvs.org/</vt:lpwstr>
      </vt:variant>
      <vt:variant>
        <vt:lpwstr/>
      </vt:variant>
      <vt:variant>
        <vt:i4>6029341</vt:i4>
      </vt:variant>
      <vt:variant>
        <vt:i4>0</vt:i4>
      </vt:variant>
      <vt:variant>
        <vt:i4>0</vt:i4>
      </vt:variant>
      <vt:variant>
        <vt:i4>5</vt:i4>
      </vt:variant>
      <vt:variant>
        <vt:lpwstr>http://www.ddbj.nig.ac.jp/insdc/insdc-j.html</vt:lpwstr>
      </vt:variant>
      <vt:variant>
        <vt:lpwstr>insd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Tomohiro Nakayama</dc:creator>
  <cp:lastModifiedBy>jidou</cp:lastModifiedBy>
  <cp:revision>2</cp:revision>
  <dcterms:created xsi:type="dcterms:W3CDTF">2015-07-09T01:25:00Z</dcterms:created>
  <dcterms:modified xsi:type="dcterms:W3CDTF">2015-07-09T01:25:00Z</dcterms:modified>
</cp:coreProperties>
</file>